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9F" w:rsidRPr="00BC3792" w:rsidRDefault="00720B9F" w:rsidP="00BE1F64">
      <w:pPr>
        <w:spacing w:after="0"/>
        <w:jc w:val="right"/>
        <w:rPr>
          <w:rFonts w:ascii="Times New Roman" w:hAnsi="Times New Roman"/>
          <w:b/>
          <w:sz w:val="24"/>
          <w:szCs w:val="24"/>
        </w:rPr>
      </w:pPr>
    </w:p>
    <w:p w:rsidR="002F0108" w:rsidRPr="00BC3792" w:rsidRDefault="002F0108" w:rsidP="002F0108">
      <w:pPr>
        <w:spacing w:after="120"/>
        <w:jc w:val="center"/>
        <w:rPr>
          <w:rFonts w:ascii="Times New Roman" w:hAnsi="Times New Roman"/>
          <w:b/>
          <w:sz w:val="28"/>
          <w:szCs w:val="28"/>
        </w:rPr>
      </w:pPr>
      <w:r w:rsidRPr="00BC3792">
        <w:rPr>
          <w:rFonts w:ascii="Times New Roman" w:hAnsi="Times New Roman"/>
          <w:b/>
          <w:sz w:val="28"/>
          <w:szCs w:val="28"/>
        </w:rPr>
        <w:t>Affiliated Business Arrangement Disclosure Statement</w:t>
      </w:r>
    </w:p>
    <w:p w:rsidR="00B41F8E" w:rsidRPr="00BC3792" w:rsidRDefault="00B41F8E" w:rsidP="00C77708">
      <w:pPr>
        <w:spacing w:after="0" w:line="240" w:lineRule="auto"/>
        <w:jc w:val="both"/>
        <w:rPr>
          <w:rFonts w:ascii="Times New Roman" w:hAnsi="Times New Roman"/>
          <w:b/>
          <w:sz w:val="19"/>
          <w:szCs w:val="19"/>
        </w:rPr>
      </w:pPr>
    </w:p>
    <w:tbl>
      <w:tblPr>
        <w:tblW w:w="0" w:type="auto"/>
        <w:tblLook w:val="04A0" w:firstRow="1" w:lastRow="0" w:firstColumn="1" w:lastColumn="0" w:noHBand="0" w:noVBand="1"/>
      </w:tblPr>
      <w:tblGrid>
        <w:gridCol w:w="5421"/>
        <w:gridCol w:w="5379"/>
      </w:tblGrid>
      <w:tr w:rsidR="00C77708" w:rsidRPr="00BC3792" w:rsidTr="00D22CFD">
        <w:tc>
          <w:tcPr>
            <w:tcW w:w="5508" w:type="dxa"/>
            <w:shd w:val="clear" w:color="auto" w:fill="auto"/>
          </w:tcPr>
          <w:p w:rsidR="00C77708" w:rsidRPr="00BC3792" w:rsidRDefault="00C77708" w:rsidP="00D22CFD">
            <w:pPr>
              <w:tabs>
                <w:tab w:val="left" w:pos="720"/>
              </w:tabs>
              <w:spacing w:after="0" w:line="360" w:lineRule="auto"/>
              <w:rPr>
                <w:rFonts w:ascii="Times New Roman" w:hAnsi="Times New Roman"/>
                <w:sz w:val="19"/>
                <w:szCs w:val="19"/>
              </w:rPr>
            </w:pPr>
            <w:r w:rsidRPr="00BC3792">
              <w:rPr>
                <w:rFonts w:ascii="Times New Roman" w:hAnsi="Times New Roman"/>
                <w:sz w:val="19"/>
                <w:szCs w:val="19"/>
              </w:rPr>
              <w:t>To:</w:t>
            </w:r>
            <w:r w:rsidRPr="00BC3792">
              <w:rPr>
                <w:rFonts w:ascii="Times New Roman" w:hAnsi="Times New Roman"/>
                <w:sz w:val="19"/>
                <w:szCs w:val="19"/>
              </w:rPr>
              <w:tab/>
              <w:t>_______________________________________________</w:t>
            </w:r>
          </w:p>
        </w:tc>
        <w:tc>
          <w:tcPr>
            <w:tcW w:w="5508" w:type="dxa"/>
            <w:shd w:val="clear" w:color="auto" w:fill="auto"/>
          </w:tcPr>
          <w:p w:rsidR="00C77708" w:rsidRPr="00BC3792" w:rsidRDefault="00C77708" w:rsidP="00D22CFD">
            <w:pPr>
              <w:tabs>
                <w:tab w:val="left" w:pos="972"/>
              </w:tabs>
              <w:spacing w:after="0" w:line="360" w:lineRule="auto"/>
              <w:rPr>
                <w:rFonts w:ascii="Times New Roman" w:hAnsi="Times New Roman"/>
                <w:sz w:val="19"/>
                <w:szCs w:val="19"/>
              </w:rPr>
            </w:pPr>
            <w:r w:rsidRPr="00BC3792">
              <w:rPr>
                <w:rFonts w:ascii="Times New Roman" w:hAnsi="Times New Roman"/>
                <w:sz w:val="19"/>
                <w:szCs w:val="19"/>
              </w:rPr>
              <w:t>Property:</w:t>
            </w:r>
            <w:r w:rsidRPr="00BC3792">
              <w:rPr>
                <w:rFonts w:ascii="Times New Roman" w:hAnsi="Times New Roman"/>
                <w:sz w:val="19"/>
                <w:szCs w:val="19"/>
              </w:rPr>
              <w:tab/>
              <w:t>____________________________________________</w:t>
            </w:r>
          </w:p>
        </w:tc>
      </w:tr>
      <w:tr w:rsidR="00C77708" w:rsidRPr="00BC3792" w:rsidTr="00D22CFD">
        <w:tc>
          <w:tcPr>
            <w:tcW w:w="5508" w:type="dxa"/>
            <w:shd w:val="clear" w:color="auto" w:fill="auto"/>
          </w:tcPr>
          <w:p w:rsidR="00C77708" w:rsidRPr="00BC3792" w:rsidRDefault="00C77708" w:rsidP="00D22CFD">
            <w:pPr>
              <w:tabs>
                <w:tab w:val="left" w:pos="720"/>
              </w:tabs>
              <w:spacing w:after="0" w:line="360" w:lineRule="auto"/>
              <w:rPr>
                <w:rFonts w:ascii="Times New Roman" w:hAnsi="Times New Roman"/>
                <w:sz w:val="19"/>
                <w:szCs w:val="19"/>
              </w:rPr>
            </w:pPr>
            <w:r w:rsidRPr="00BC3792">
              <w:rPr>
                <w:rFonts w:ascii="Times New Roman" w:hAnsi="Times New Roman"/>
                <w:sz w:val="19"/>
                <w:szCs w:val="19"/>
              </w:rPr>
              <w:t>From:</w:t>
            </w:r>
            <w:r w:rsidRPr="00BC3792">
              <w:rPr>
                <w:rFonts w:ascii="Times New Roman" w:hAnsi="Times New Roman"/>
                <w:sz w:val="19"/>
                <w:szCs w:val="19"/>
              </w:rPr>
              <w:tab/>
            </w:r>
            <w:r w:rsidR="00C9594B">
              <w:rPr>
                <w:rFonts w:ascii="Times New Roman" w:hAnsi="Times New Roman"/>
                <w:sz w:val="19"/>
                <w:szCs w:val="19"/>
              </w:rPr>
              <w:t>HomeServices Relocation, LLC</w:t>
            </w:r>
          </w:p>
        </w:tc>
        <w:tc>
          <w:tcPr>
            <w:tcW w:w="5508" w:type="dxa"/>
            <w:shd w:val="clear" w:color="auto" w:fill="auto"/>
          </w:tcPr>
          <w:p w:rsidR="00C77708" w:rsidRPr="00BC3792" w:rsidRDefault="00C77708" w:rsidP="00D22CFD">
            <w:pPr>
              <w:tabs>
                <w:tab w:val="left" w:pos="972"/>
              </w:tabs>
              <w:spacing w:after="0" w:line="360" w:lineRule="auto"/>
              <w:rPr>
                <w:rFonts w:ascii="Times New Roman" w:hAnsi="Times New Roman"/>
                <w:sz w:val="19"/>
                <w:szCs w:val="19"/>
              </w:rPr>
            </w:pPr>
            <w:r w:rsidRPr="00BC3792">
              <w:rPr>
                <w:rFonts w:ascii="Times New Roman" w:hAnsi="Times New Roman"/>
                <w:sz w:val="19"/>
                <w:szCs w:val="19"/>
              </w:rPr>
              <w:t>Date:</w:t>
            </w:r>
            <w:r w:rsidRPr="00BC3792">
              <w:rPr>
                <w:rFonts w:ascii="Times New Roman" w:hAnsi="Times New Roman"/>
                <w:sz w:val="19"/>
                <w:szCs w:val="19"/>
              </w:rPr>
              <w:tab/>
              <w:t>____________________________________________</w:t>
            </w:r>
          </w:p>
        </w:tc>
      </w:tr>
    </w:tbl>
    <w:p w:rsidR="00C77708" w:rsidRPr="00BC3792" w:rsidRDefault="00C77708" w:rsidP="00C77708">
      <w:pPr>
        <w:spacing w:after="0" w:line="240" w:lineRule="auto"/>
        <w:jc w:val="both"/>
        <w:rPr>
          <w:rFonts w:ascii="Times New Roman" w:hAnsi="Times New Roman"/>
          <w:sz w:val="12"/>
          <w:szCs w:val="12"/>
        </w:rPr>
      </w:pPr>
    </w:p>
    <w:p w:rsidR="001B0DA2" w:rsidRDefault="00EF47C7" w:rsidP="00A54C13">
      <w:pPr>
        <w:spacing w:after="120"/>
        <w:jc w:val="both"/>
        <w:rPr>
          <w:rFonts w:ascii="Times New Roman" w:hAnsi="Times New Roman"/>
          <w:sz w:val="19"/>
          <w:szCs w:val="19"/>
        </w:rPr>
      </w:pPr>
      <w:r w:rsidRPr="00BC3792">
        <w:rPr>
          <w:rFonts w:ascii="Times New Roman" w:hAnsi="Times New Roman"/>
          <w:sz w:val="19"/>
          <w:szCs w:val="19"/>
        </w:rPr>
        <w:t>This</w:t>
      </w:r>
      <w:r w:rsidR="00270FE1" w:rsidRPr="00BC3792">
        <w:rPr>
          <w:rFonts w:ascii="Times New Roman" w:hAnsi="Times New Roman"/>
          <w:sz w:val="19"/>
          <w:szCs w:val="19"/>
        </w:rPr>
        <w:t xml:space="preserve"> </w:t>
      </w:r>
      <w:r w:rsidR="001F0622" w:rsidRPr="00BC3792">
        <w:rPr>
          <w:rFonts w:ascii="Times New Roman" w:hAnsi="Times New Roman"/>
          <w:sz w:val="19"/>
          <w:szCs w:val="19"/>
        </w:rPr>
        <w:t>is to give you notice that</w:t>
      </w:r>
      <w:r w:rsidR="001B0DA2">
        <w:rPr>
          <w:rFonts w:ascii="Times New Roman" w:hAnsi="Times New Roman"/>
          <w:sz w:val="19"/>
          <w:szCs w:val="19"/>
        </w:rPr>
        <w:t xml:space="preserve"> HomeServices Relocation, LLC</w:t>
      </w:r>
      <w:r w:rsidR="00DE0AE0">
        <w:rPr>
          <w:rFonts w:ascii="Times New Roman" w:hAnsi="Times New Roman"/>
          <w:sz w:val="19"/>
          <w:szCs w:val="19"/>
        </w:rPr>
        <w:t xml:space="preserve">, HomeServices Lending, LLC, </w:t>
      </w:r>
      <w:r w:rsidR="001F4566" w:rsidRPr="001F4566">
        <w:rPr>
          <w:rFonts w:ascii="Times New Roman" w:hAnsi="Times New Roman"/>
          <w:sz w:val="19"/>
          <w:szCs w:val="19"/>
        </w:rPr>
        <w:t xml:space="preserve">Prosperity Home Mortgage, LLC, Trident Mortgage Company LP, Silvermine Ventures, LLC doing business as Thoroughbred Mortgage (“Thoroughbred Mortgage”), HomeServices Insurance, Inc., Vanderbilt Mortgage and Finance Inc. doing business as Silverton Mortgage (“Silverton Mortgage”) </w:t>
      </w:r>
      <w:r w:rsidR="001F4566">
        <w:rPr>
          <w:rFonts w:ascii="Times New Roman" w:hAnsi="Times New Roman"/>
          <w:sz w:val="19"/>
          <w:szCs w:val="19"/>
        </w:rPr>
        <w:t xml:space="preserve">and the following real estate brokerages (the “Brokerages”) </w:t>
      </w:r>
      <w:r w:rsidR="001F4566" w:rsidRPr="001F4566">
        <w:rPr>
          <w:rFonts w:ascii="Times New Roman" w:hAnsi="Times New Roman"/>
          <w:sz w:val="19"/>
          <w:szCs w:val="19"/>
        </w:rPr>
        <w:t>are part of a family of companies (the “Affiliated Companies”) owned by Berkshire Hathaway, Inc. (“Berkshire Hathaway”)</w:t>
      </w:r>
      <w:r w:rsidR="001B0DA2">
        <w:rPr>
          <w:rFonts w:ascii="Times New Roman" w:hAnsi="Times New Roman"/>
          <w:sz w:val="19"/>
          <w:szCs w:val="19"/>
        </w:rPr>
        <w:t>, and each may refer to you the services of another:</w:t>
      </w:r>
    </w:p>
    <w:p w:rsidR="001B0DA2" w:rsidRDefault="00A05867" w:rsidP="00DE74C3">
      <w:pPr>
        <w:pStyle w:val="ListParagraph"/>
        <w:numPr>
          <w:ilvl w:val="0"/>
          <w:numId w:val="2"/>
        </w:numPr>
        <w:spacing w:after="0" w:line="240" w:lineRule="auto"/>
        <w:jc w:val="both"/>
        <w:rPr>
          <w:rFonts w:ascii="Times New Roman" w:hAnsi="Times New Roman"/>
          <w:sz w:val="19"/>
          <w:szCs w:val="19"/>
        </w:rPr>
      </w:pPr>
      <w:r w:rsidRPr="001B0DA2">
        <w:rPr>
          <w:rFonts w:ascii="Times New Roman" w:hAnsi="Times New Roman"/>
          <w:sz w:val="19"/>
          <w:szCs w:val="19"/>
        </w:rPr>
        <w:t xml:space="preserve">ABA Management, L.L.C. </w:t>
      </w:r>
      <w:r w:rsidR="00B70FC5" w:rsidRPr="001B0DA2">
        <w:rPr>
          <w:rFonts w:ascii="Times New Roman" w:hAnsi="Times New Roman"/>
          <w:sz w:val="19"/>
          <w:szCs w:val="19"/>
        </w:rPr>
        <w:t>doing business as</w:t>
      </w:r>
      <w:r w:rsidR="00E41067" w:rsidRPr="001B0DA2">
        <w:rPr>
          <w:rFonts w:ascii="Times New Roman" w:hAnsi="Times New Roman"/>
          <w:sz w:val="19"/>
          <w:szCs w:val="19"/>
        </w:rPr>
        <w:t xml:space="preserve"> </w:t>
      </w:r>
      <w:r w:rsidRPr="001B0DA2">
        <w:rPr>
          <w:rFonts w:ascii="Times New Roman" w:hAnsi="Times New Roman"/>
          <w:sz w:val="19"/>
          <w:szCs w:val="19"/>
        </w:rPr>
        <w:t>Allie B</w:t>
      </w:r>
      <w:r w:rsidR="00DE0AE0">
        <w:rPr>
          <w:rFonts w:ascii="Times New Roman" w:hAnsi="Times New Roman"/>
          <w:sz w:val="19"/>
          <w:szCs w:val="19"/>
        </w:rPr>
        <w:t>eth Allman &amp; Associates</w:t>
      </w:r>
    </w:p>
    <w:p w:rsidR="00036005" w:rsidRDefault="00036005"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Ambassador Real Estate Company and ARE Iowa, LLC, together doing business as Berkshire Hathaway HomeServices Ambassador Real Estate</w:t>
      </w:r>
    </w:p>
    <w:p w:rsidR="00EC23AF" w:rsidRDefault="00EC23AF" w:rsidP="00EC23AF">
      <w:pPr>
        <w:pStyle w:val="ListParagraph"/>
        <w:numPr>
          <w:ilvl w:val="0"/>
          <w:numId w:val="2"/>
        </w:numPr>
        <w:spacing w:after="120"/>
        <w:jc w:val="both"/>
        <w:rPr>
          <w:rFonts w:ascii="Times New Roman" w:hAnsi="Times New Roman"/>
          <w:sz w:val="19"/>
          <w:szCs w:val="19"/>
        </w:rPr>
      </w:pPr>
      <w:r w:rsidRPr="00D4364B">
        <w:rPr>
          <w:rFonts w:ascii="Times New Roman" w:hAnsi="Times New Roman"/>
          <w:sz w:val="19"/>
          <w:szCs w:val="19"/>
        </w:rPr>
        <w:t xml:space="preserve">BHH KC Real Estate, LLC </w:t>
      </w:r>
      <w:r>
        <w:rPr>
          <w:rFonts w:ascii="Times New Roman" w:hAnsi="Times New Roman"/>
          <w:sz w:val="19"/>
          <w:szCs w:val="19"/>
        </w:rPr>
        <w:t>doing business as</w:t>
      </w:r>
      <w:r w:rsidRPr="00D4364B">
        <w:rPr>
          <w:rFonts w:ascii="Times New Roman" w:hAnsi="Times New Roman"/>
          <w:sz w:val="19"/>
          <w:szCs w:val="19"/>
        </w:rPr>
        <w:t xml:space="preserve"> Berkshire Hathaway HomeServices Kansas City Realty</w:t>
      </w:r>
    </w:p>
    <w:p w:rsidR="00EC23AF" w:rsidRDefault="001F58F2"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CTRE, L.L.C.</w:t>
      </w:r>
      <w:r w:rsidR="00EC23AF">
        <w:rPr>
          <w:rFonts w:ascii="Times New Roman" w:hAnsi="Times New Roman"/>
          <w:sz w:val="19"/>
          <w:szCs w:val="19"/>
        </w:rPr>
        <w:t xml:space="preserve"> doing business as Berkshire Hathaway HomeServices New England Properties</w:t>
      </w:r>
      <w:r w:rsidR="00EB1422">
        <w:rPr>
          <w:rFonts w:ascii="Times New Roman" w:hAnsi="Times New Roman"/>
          <w:sz w:val="19"/>
          <w:szCs w:val="19"/>
        </w:rPr>
        <w:t>,</w:t>
      </w:r>
      <w:r w:rsidR="00EC23AF">
        <w:rPr>
          <w:rFonts w:ascii="Times New Roman" w:hAnsi="Times New Roman"/>
          <w:sz w:val="19"/>
          <w:szCs w:val="19"/>
        </w:rPr>
        <w:t xml:space="preserve"> Berkshire Hathaway HomeServices Westchester Properties</w:t>
      </w:r>
      <w:r w:rsidR="00EB1422">
        <w:rPr>
          <w:rFonts w:ascii="Times New Roman" w:hAnsi="Times New Roman"/>
          <w:sz w:val="19"/>
          <w:szCs w:val="19"/>
        </w:rPr>
        <w:t xml:space="preserve"> and Berkshire Hathaway HomeServices New York Properties</w:t>
      </w:r>
    </w:p>
    <w:p w:rsidR="00FD6E6B" w:rsidRPr="001F4566" w:rsidRDefault="00FD6E6B" w:rsidP="00EC23AF">
      <w:pPr>
        <w:pStyle w:val="ListParagraph"/>
        <w:numPr>
          <w:ilvl w:val="0"/>
          <w:numId w:val="2"/>
        </w:numPr>
        <w:spacing w:after="120"/>
        <w:jc w:val="both"/>
        <w:rPr>
          <w:rFonts w:ascii="Times New Roman" w:hAnsi="Times New Roman"/>
          <w:spacing w:val="-6"/>
          <w:sz w:val="19"/>
          <w:szCs w:val="19"/>
        </w:rPr>
      </w:pPr>
      <w:r w:rsidRPr="001F4566">
        <w:rPr>
          <w:rFonts w:ascii="Times New Roman" w:hAnsi="Times New Roman"/>
          <w:spacing w:val="-6"/>
          <w:sz w:val="19"/>
          <w:szCs w:val="19"/>
        </w:rPr>
        <w:t>Ebby Halliday Real Estate, Inc. doing business as Ebby Halliday, REALTORS®, Dave Perry-Miller Real Estat</w:t>
      </w:r>
      <w:r w:rsidR="00036005" w:rsidRPr="001F4566">
        <w:rPr>
          <w:rFonts w:ascii="Times New Roman" w:hAnsi="Times New Roman"/>
          <w:spacing w:val="-6"/>
          <w:sz w:val="19"/>
          <w:szCs w:val="19"/>
        </w:rPr>
        <w:t>e, and WilliamsTrew Real Estate</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Edina Realty, Inc.</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 xml:space="preserve">Esslinger-Wooten-Maxwell, Inc. doing business as </w:t>
      </w:r>
      <w:r w:rsidR="002E4159">
        <w:rPr>
          <w:rFonts w:ascii="Times New Roman" w:hAnsi="Times New Roman"/>
          <w:sz w:val="19"/>
          <w:szCs w:val="19"/>
        </w:rPr>
        <w:t xml:space="preserve">Berkshire Hathaway HomeServices </w:t>
      </w:r>
      <w:r>
        <w:rPr>
          <w:rFonts w:ascii="Times New Roman" w:hAnsi="Times New Roman"/>
          <w:sz w:val="19"/>
          <w:szCs w:val="19"/>
        </w:rPr>
        <w:t>EWM Realty</w:t>
      </w:r>
    </w:p>
    <w:p w:rsidR="002B0601" w:rsidRDefault="002B0601"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First Realty, Ltd. doing business as Berkshire Hathaway HomeServices First Realty</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 xml:space="preserve">First Weber, </w:t>
      </w:r>
      <w:r w:rsidRPr="002F6033">
        <w:rPr>
          <w:rFonts w:ascii="Times New Roman" w:hAnsi="Times New Roman"/>
          <w:sz w:val="19"/>
          <w:szCs w:val="19"/>
        </w:rPr>
        <w:t>Inc.</w:t>
      </w:r>
      <w:r w:rsidRPr="00A50D6D">
        <w:rPr>
          <w:rFonts w:ascii="Times New Roman" w:hAnsi="Times New Roman"/>
          <w:sz w:val="19"/>
          <w:szCs w:val="19"/>
        </w:rPr>
        <w:t xml:space="preserve"> </w:t>
      </w:r>
      <w:r>
        <w:rPr>
          <w:rFonts w:ascii="Times New Roman" w:hAnsi="Times New Roman"/>
          <w:sz w:val="19"/>
          <w:szCs w:val="19"/>
        </w:rPr>
        <w:t>and First Weber Illinois, LLC, both doing business as First Weber and/or First Weber, REALTORS®</w:t>
      </w:r>
    </w:p>
    <w:p w:rsidR="00C224E0" w:rsidRDefault="00C224E0"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Florida Network LLC doing business as Berkshire Hathaway HomeServices Florida Network Realty</w:t>
      </w:r>
    </w:p>
    <w:p w:rsidR="00EC23AF" w:rsidRDefault="00EC23AF" w:rsidP="00EC23AF">
      <w:pPr>
        <w:pStyle w:val="ListParagraph"/>
        <w:numPr>
          <w:ilvl w:val="0"/>
          <w:numId w:val="2"/>
        </w:numPr>
        <w:spacing w:after="120"/>
        <w:jc w:val="both"/>
        <w:rPr>
          <w:rFonts w:ascii="Times New Roman" w:hAnsi="Times New Roman"/>
          <w:sz w:val="19"/>
          <w:szCs w:val="19"/>
        </w:rPr>
      </w:pPr>
      <w:r w:rsidRPr="00EC23AF">
        <w:rPr>
          <w:rFonts w:ascii="Times New Roman" w:hAnsi="Times New Roman"/>
          <w:sz w:val="19"/>
          <w:szCs w:val="19"/>
        </w:rPr>
        <w:t>Fox &amp; Roach LP doing business as Berkshire Hathaway HomeServices Fox &amp; Roach, REALTORS®</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Guarantee Real Estate</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HN Real Estate Group, L.L.C. and HN Real Estate Group N.C., Inc., both doing business as Harry Norman, REALTORS®</w:t>
      </w:r>
    </w:p>
    <w:p w:rsidR="00EC23AF" w:rsidRDefault="00EC23AF" w:rsidP="00EC23AF">
      <w:pPr>
        <w:pStyle w:val="ListParagraph"/>
        <w:numPr>
          <w:ilvl w:val="0"/>
          <w:numId w:val="2"/>
        </w:numPr>
        <w:spacing w:after="120"/>
        <w:jc w:val="both"/>
        <w:rPr>
          <w:rFonts w:ascii="Times New Roman" w:hAnsi="Times New Roman"/>
          <w:sz w:val="19"/>
          <w:szCs w:val="19"/>
        </w:rPr>
      </w:pPr>
      <w:r w:rsidRPr="00A93C3B">
        <w:rPr>
          <w:rFonts w:ascii="Times New Roman" w:hAnsi="Times New Roman"/>
          <w:sz w:val="19"/>
          <w:szCs w:val="19"/>
        </w:rPr>
        <w:t>HomeServices of Illinois, LLC doing business as Berkshire Hathaway HomeServices KoenigRubloff Realty Group</w:t>
      </w:r>
    </w:p>
    <w:p w:rsidR="002B0601" w:rsidRDefault="002B0601"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HomeServices of Kentucky, Inc. doing business as Semonin, REALTORS®, Rector Hayden, REALTORS®</w:t>
      </w:r>
      <w:r w:rsidRPr="00DE0CB6">
        <w:rPr>
          <w:rFonts w:ascii="Times New Roman" w:hAnsi="Times New Roman"/>
          <w:sz w:val="19"/>
          <w:szCs w:val="19"/>
        </w:rPr>
        <w:t xml:space="preserve"> </w:t>
      </w:r>
      <w:r>
        <w:rPr>
          <w:rFonts w:ascii="Times New Roman" w:hAnsi="Times New Roman"/>
          <w:sz w:val="19"/>
          <w:szCs w:val="19"/>
        </w:rPr>
        <w:t>and</w:t>
      </w:r>
      <w:r w:rsidRPr="00DE0CB6">
        <w:rPr>
          <w:rFonts w:ascii="Times New Roman" w:hAnsi="Times New Roman"/>
          <w:sz w:val="19"/>
          <w:szCs w:val="19"/>
        </w:rPr>
        <w:t xml:space="preserve"> </w:t>
      </w:r>
      <w:r w:rsidR="00F314B0">
        <w:rPr>
          <w:rFonts w:ascii="Times New Roman" w:hAnsi="Times New Roman"/>
          <w:sz w:val="19"/>
          <w:szCs w:val="19"/>
        </w:rPr>
        <w:t>WR</w:t>
      </w:r>
      <w:r>
        <w:rPr>
          <w:rFonts w:ascii="Times New Roman" w:hAnsi="Times New Roman"/>
          <w:sz w:val="19"/>
          <w:szCs w:val="19"/>
        </w:rPr>
        <w:t>, REALTORS®</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HomeServices of Nebraska, Inc. doing business as HOME Real Estate and Woods Bros Realty</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HomeServices of Washington, LLC, HomeServices of Oregon, LLC and Pilot Butte, LLC, each doing business as Berkshire Hathaway HomeServices Northwest Real Estate</w:t>
      </w:r>
    </w:p>
    <w:p w:rsidR="00E10821" w:rsidRDefault="00E10821"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Houlihan/Lawrence, Inc. doing business as Houlihan Lawrence</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HSGA Real Estate Group, L.L.C. doing business as Berkshire Hathaway HomeServices Georgia Properties</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Intero Real Estate Services, Inc.</w:t>
      </w:r>
    </w:p>
    <w:p w:rsidR="00EC23AF" w:rsidRDefault="00EC23AF" w:rsidP="00EC23AF">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Iowa Realty Co., Inc. doing business as Iowa Realty</w:t>
      </w:r>
    </w:p>
    <w:p w:rsidR="002B0601" w:rsidRDefault="002B0601"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Jim Huff Realty, Inc. and Huff-Drees Realty, Inc.</w:t>
      </w:r>
      <w:r w:rsidR="001F58F2">
        <w:rPr>
          <w:rFonts w:ascii="Times New Roman" w:hAnsi="Times New Roman"/>
          <w:sz w:val="19"/>
          <w:szCs w:val="19"/>
        </w:rPr>
        <w:t>,</w:t>
      </w:r>
      <w:r>
        <w:rPr>
          <w:rFonts w:ascii="Times New Roman" w:hAnsi="Times New Roman"/>
          <w:sz w:val="19"/>
          <w:szCs w:val="19"/>
        </w:rPr>
        <w:t xml:space="preserve"> both doing business as HUFF Realty</w:t>
      </w:r>
    </w:p>
    <w:p w:rsidR="002B0601" w:rsidRDefault="002B0601"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JRHBW Realty, Inc. doing business as RealtySouth™</w:t>
      </w:r>
      <w:r w:rsidR="00BE038D">
        <w:rPr>
          <w:rFonts w:ascii="Times New Roman" w:hAnsi="Times New Roman"/>
          <w:sz w:val="19"/>
          <w:szCs w:val="19"/>
        </w:rPr>
        <w:t xml:space="preserve"> and Love Lake Martin</w:t>
      </w:r>
    </w:p>
    <w:p w:rsidR="005214DC" w:rsidRDefault="005214DC" w:rsidP="005214DC">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Kentwood Real Estate City Properties, LLC, Kentwood Real Estate DTC, LLC and Kentwood Real Estate Cherry Creek, LLC, together doing business as Kentwood Real Estate</w:t>
      </w:r>
    </w:p>
    <w:p w:rsidR="007B4748" w:rsidRDefault="007B4748" w:rsidP="007B4748">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Long &amp; Foster Real Estate, Inc. doing business as Long &amp; Foster Real Estate, Fonville Morisey, Urban Pace, Virginia Properties, Evers &amp; Company Real Estate</w:t>
      </w:r>
      <w:r w:rsidR="002C1A86">
        <w:rPr>
          <w:rFonts w:ascii="Times New Roman" w:hAnsi="Times New Roman"/>
          <w:sz w:val="19"/>
          <w:szCs w:val="19"/>
        </w:rPr>
        <w:t>,</w:t>
      </w:r>
      <w:r>
        <w:rPr>
          <w:rFonts w:ascii="Times New Roman" w:hAnsi="Times New Roman"/>
          <w:sz w:val="19"/>
          <w:szCs w:val="19"/>
        </w:rPr>
        <w:t xml:space="preserve"> McGrath Real Estate Services</w:t>
      </w:r>
      <w:r w:rsidR="00BE038D">
        <w:rPr>
          <w:rFonts w:ascii="Times New Roman" w:hAnsi="Times New Roman"/>
          <w:sz w:val="19"/>
          <w:szCs w:val="19"/>
        </w:rPr>
        <w:t>,</w:t>
      </w:r>
      <w:r w:rsidR="002C1A86">
        <w:rPr>
          <w:rFonts w:ascii="Times New Roman" w:hAnsi="Times New Roman"/>
          <w:sz w:val="19"/>
          <w:szCs w:val="19"/>
        </w:rPr>
        <w:t xml:space="preserve"> Northrop Realty</w:t>
      </w:r>
      <w:r w:rsidR="00BE038D">
        <w:rPr>
          <w:rFonts w:ascii="Times New Roman" w:hAnsi="Times New Roman"/>
          <w:sz w:val="19"/>
          <w:szCs w:val="19"/>
        </w:rPr>
        <w:t xml:space="preserve"> and Tailored Move</w:t>
      </w:r>
    </w:p>
    <w:p w:rsidR="00F36AEF" w:rsidRDefault="00F36AEF" w:rsidP="001B0DA2">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 xml:space="preserve">Lovejoy Realty, Inc. and Midwest Preferred Realty, Inc. both doing business as Berkshire Hathaway HomeServices </w:t>
      </w:r>
      <w:r w:rsidR="007B4748">
        <w:rPr>
          <w:rFonts w:ascii="Times New Roman" w:hAnsi="Times New Roman"/>
          <w:sz w:val="19"/>
          <w:szCs w:val="19"/>
        </w:rPr>
        <w:t>North Properties</w:t>
      </w:r>
    </w:p>
    <w:p w:rsidR="001B0DA2" w:rsidRDefault="001B0DA2" w:rsidP="001B0DA2">
      <w:pPr>
        <w:pStyle w:val="ListParagraph"/>
        <w:numPr>
          <w:ilvl w:val="0"/>
          <w:numId w:val="2"/>
        </w:numPr>
        <w:spacing w:after="120"/>
        <w:jc w:val="both"/>
        <w:rPr>
          <w:rFonts w:ascii="Times New Roman" w:hAnsi="Times New Roman"/>
          <w:sz w:val="19"/>
          <w:szCs w:val="19"/>
        </w:rPr>
      </w:pPr>
      <w:r w:rsidRPr="001B0DA2">
        <w:rPr>
          <w:rFonts w:ascii="Times New Roman" w:hAnsi="Times New Roman"/>
          <w:sz w:val="19"/>
          <w:szCs w:val="19"/>
        </w:rPr>
        <w:t>Pickford Real Estate, Inc. and Pickford Realty, Ltd. both doing business as Berkshire Hathaway Hom</w:t>
      </w:r>
      <w:r w:rsidR="00DE0AE0">
        <w:rPr>
          <w:rFonts w:ascii="Times New Roman" w:hAnsi="Times New Roman"/>
          <w:sz w:val="19"/>
          <w:szCs w:val="19"/>
        </w:rPr>
        <w:t>eServices California Properties</w:t>
      </w:r>
    </w:p>
    <w:p w:rsidR="002B0601" w:rsidRDefault="002B0601"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 xml:space="preserve">Preferred Carolinas Realty, Inc. doing business as </w:t>
      </w:r>
      <w:r w:rsidRPr="0019146D">
        <w:rPr>
          <w:rFonts w:ascii="Times New Roman" w:hAnsi="Times New Roman"/>
          <w:sz w:val="19"/>
          <w:szCs w:val="19"/>
        </w:rPr>
        <w:t xml:space="preserve">Berkshire Hathaway HomeServices Carolinas Realty, </w:t>
      </w:r>
      <w:r w:rsidR="00F314B0" w:rsidRPr="0019146D">
        <w:rPr>
          <w:rFonts w:ascii="Times New Roman" w:hAnsi="Times New Roman"/>
          <w:sz w:val="19"/>
          <w:szCs w:val="19"/>
        </w:rPr>
        <w:t xml:space="preserve">Berkshire Hathaway HomeServices </w:t>
      </w:r>
      <w:r w:rsidR="00F314B0">
        <w:rPr>
          <w:rFonts w:ascii="Times New Roman" w:hAnsi="Times New Roman"/>
          <w:sz w:val="19"/>
          <w:szCs w:val="19"/>
        </w:rPr>
        <w:t xml:space="preserve">Pinehurst Realty Group, </w:t>
      </w:r>
      <w:r w:rsidRPr="0019146D">
        <w:rPr>
          <w:rFonts w:ascii="Times New Roman" w:hAnsi="Times New Roman"/>
          <w:sz w:val="19"/>
          <w:szCs w:val="19"/>
        </w:rPr>
        <w:t>Berkshire Hathaway HomeServices York Simpson Underwood Realty and Berkshire Hathaway HomeServices Yost &amp; Little Realty</w:t>
      </w:r>
    </w:p>
    <w:p w:rsidR="00C224E0" w:rsidRDefault="00C224E0" w:rsidP="002B0601">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Pru-One, Inc. doing business as Berkshire Hathaway HomeServices Real Estate Professionals</w:t>
      </w:r>
    </w:p>
    <w:p w:rsidR="007B4748" w:rsidRDefault="007B4748" w:rsidP="007B4748">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Reece &amp; Nichols Realtors, Inc. doing business as ReeceNichols</w:t>
      </w:r>
    </w:p>
    <w:p w:rsidR="007B4748" w:rsidRPr="002B0601" w:rsidRDefault="007B4748" w:rsidP="007B4748">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Roberts Brothers</w:t>
      </w:r>
      <w:r w:rsidRPr="00BC3792">
        <w:rPr>
          <w:rFonts w:ascii="Times New Roman" w:hAnsi="Times New Roman"/>
          <w:sz w:val="19"/>
          <w:szCs w:val="19"/>
        </w:rPr>
        <w:t xml:space="preserve">, Inc. doing business as </w:t>
      </w:r>
      <w:r>
        <w:rPr>
          <w:rFonts w:ascii="Times New Roman" w:hAnsi="Times New Roman"/>
          <w:sz w:val="19"/>
          <w:szCs w:val="19"/>
        </w:rPr>
        <w:t>Roberts Brothers</w:t>
      </w:r>
      <w:r w:rsidRPr="00BC3792">
        <w:rPr>
          <w:rFonts w:ascii="Times New Roman" w:hAnsi="Times New Roman"/>
          <w:sz w:val="19"/>
          <w:szCs w:val="19"/>
        </w:rPr>
        <w:t>, REALTORS®</w:t>
      </w:r>
    </w:p>
    <w:p w:rsidR="007B4748" w:rsidRPr="002E33F8" w:rsidRDefault="007B4748" w:rsidP="007B4748">
      <w:pPr>
        <w:pStyle w:val="ListParagraph"/>
        <w:numPr>
          <w:ilvl w:val="0"/>
          <w:numId w:val="2"/>
        </w:numPr>
        <w:spacing w:after="120"/>
        <w:jc w:val="both"/>
        <w:rPr>
          <w:rFonts w:ascii="Times New Roman" w:hAnsi="Times New Roman"/>
          <w:sz w:val="19"/>
          <w:szCs w:val="19"/>
        </w:rPr>
      </w:pPr>
      <w:r w:rsidRPr="007422B6">
        <w:rPr>
          <w:rFonts w:ascii="Times New Roman" w:hAnsi="Times New Roman"/>
          <w:spacing w:val="-2"/>
          <w:sz w:val="19"/>
          <w:szCs w:val="19"/>
        </w:rPr>
        <w:t>Roy H. Long Realty Company, Inc. doing business as Long Realty Company</w:t>
      </w:r>
    </w:p>
    <w:p w:rsidR="007B4748" w:rsidRPr="00C15312" w:rsidRDefault="007B4748" w:rsidP="007B4748">
      <w:pPr>
        <w:pStyle w:val="ListParagraph"/>
        <w:numPr>
          <w:ilvl w:val="0"/>
          <w:numId w:val="2"/>
        </w:numPr>
        <w:spacing w:after="120"/>
        <w:jc w:val="both"/>
        <w:rPr>
          <w:rFonts w:ascii="Times New Roman" w:hAnsi="Times New Roman"/>
          <w:sz w:val="19"/>
          <w:szCs w:val="19"/>
        </w:rPr>
      </w:pPr>
      <w:r>
        <w:rPr>
          <w:rFonts w:ascii="Times New Roman" w:hAnsi="Times New Roman"/>
          <w:spacing w:val="-2"/>
          <w:sz w:val="19"/>
          <w:szCs w:val="19"/>
        </w:rPr>
        <w:t>SCS Realty Investment Group, LLC doing business as Gloria Nilson &amp; Co. Real Estate</w:t>
      </w:r>
    </w:p>
    <w:p w:rsidR="00C15312" w:rsidRPr="007B4748" w:rsidRDefault="00C15312" w:rsidP="007B4748">
      <w:pPr>
        <w:pStyle w:val="ListParagraph"/>
        <w:numPr>
          <w:ilvl w:val="0"/>
          <w:numId w:val="2"/>
        </w:numPr>
        <w:spacing w:after="120"/>
        <w:jc w:val="both"/>
        <w:rPr>
          <w:rFonts w:ascii="Times New Roman" w:hAnsi="Times New Roman"/>
          <w:sz w:val="19"/>
          <w:szCs w:val="19"/>
        </w:rPr>
      </w:pPr>
      <w:r>
        <w:rPr>
          <w:rFonts w:ascii="Times New Roman" w:hAnsi="Times New Roman"/>
          <w:sz w:val="19"/>
          <w:szCs w:val="19"/>
        </w:rPr>
        <w:t>Watermark Realty, Inc. doing business as Berkshire Hathaway HomeServices Florida Realty</w:t>
      </w:r>
    </w:p>
    <w:p w:rsidR="00036005" w:rsidRDefault="00036005" w:rsidP="00C15312">
      <w:pPr>
        <w:spacing w:after="120"/>
        <w:ind w:left="360"/>
        <w:jc w:val="center"/>
        <w:rPr>
          <w:rFonts w:ascii="Times New Roman" w:hAnsi="Times New Roman"/>
          <w:sz w:val="19"/>
          <w:szCs w:val="19"/>
        </w:rPr>
      </w:pPr>
      <w:r>
        <w:rPr>
          <w:rFonts w:ascii="Times New Roman" w:hAnsi="Times New Roman"/>
          <w:sz w:val="19"/>
          <w:szCs w:val="19"/>
        </w:rPr>
        <w:t>[continued on the following page</w:t>
      </w:r>
      <w:r w:rsidRPr="00BD5D26">
        <w:rPr>
          <w:rFonts w:ascii="Times New Roman" w:hAnsi="Times New Roman"/>
          <w:sz w:val="19"/>
          <w:szCs w:val="19"/>
        </w:rPr>
        <w:t>]</w:t>
      </w:r>
    </w:p>
    <w:p w:rsidR="00036005" w:rsidRPr="00036005" w:rsidRDefault="00036005" w:rsidP="00036005">
      <w:pPr>
        <w:spacing w:after="120"/>
        <w:ind w:left="360"/>
        <w:jc w:val="both"/>
        <w:rPr>
          <w:rFonts w:ascii="Times New Roman" w:hAnsi="Times New Roman"/>
          <w:sz w:val="19"/>
          <w:szCs w:val="19"/>
        </w:rPr>
        <w:sectPr w:rsidR="00036005" w:rsidRPr="00036005" w:rsidSect="00EF441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76" w:left="720" w:header="187" w:footer="144" w:gutter="0"/>
          <w:cols w:space="720"/>
          <w:docGrid w:linePitch="360"/>
        </w:sectPr>
      </w:pPr>
    </w:p>
    <w:p w:rsidR="001F4566" w:rsidRDefault="001F4566" w:rsidP="00C32F7D">
      <w:pPr>
        <w:spacing w:after="120"/>
        <w:jc w:val="both"/>
        <w:rPr>
          <w:rFonts w:ascii="Times New Roman" w:hAnsi="Times New Roman"/>
          <w:spacing w:val="-2"/>
          <w:sz w:val="19"/>
          <w:szCs w:val="19"/>
        </w:rPr>
      </w:pPr>
      <w:r>
        <w:rPr>
          <w:rFonts w:ascii="Times New Roman" w:hAnsi="Times New Roman"/>
          <w:sz w:val="19"/>
          <w:szCs w:val="19"/>
        </w:rPr>
        <w:lastRenderedPageBreak/>
        <w:t xml:space="preserve">HomeServices Relocation, LLC, HomeServices Lending, LLC, </w:t>
      </w:r>
      <w:r w:rsidRPr="001F4566">
        <w:rPr>
          <w:rFonts w:ascii="Times New Roman" w:hAnsi="Times New Roman"/>
          <w:sz w:val="19"/>
          <w:szCs w:val="19"/>
        </w:rPr>
        <w:t xml:space="preserve">Prosperity Home Mortgage, LLC, Trident Mortgage Company LP, Thoroughbred Mortgage, HomeServices Insurance, Inc., </w:t>
      </w:r>
      <w:r>
        <w:rPr>
          <w:rFonts w:ascii="Times New Roman" w:hAnsi="Times New Roman"/>
          <w:sz w:val="19"/>
          <w:szCs w:val="19"/>
        </w:rPr>
        <w:t xml:space="preserve">and the </w:t>
      </w:r>
      <w:r w:rsidR="00C5683A">
        <w:rPr>
          <w:rFonts w:ascii="Times New Roman" w:hAnsi="Times New Roman"/>
          <w:sz w:val="19"/>
          <w:szCs w:val="19"/>
        </w:rPr>
        <w:t xml:space="preserve">Brokerages </w:t>
      </w:r>
      <w:r w:rsidR="00C5683A" w:rsidRPr="001F4566">
        <w:rPr>
          <w:rFonts w:ascii="Times New Roman" w:hAnsi="Times New Roman"/>
          <w:spacing w:val="-2"/>
          <w:sz w:val="19"/>
          <w:szCs w:val="19"/>
        </w:rPr>
        <w:t>are</w:t>
      </w:r>
      <w:r w:rsidRPr="001F4566">
        <w:rPr>
          <w:rFonts w:ascii="Times New Roman" w:hAnsi="Times New Roman"/>
          <w:spacing w:val="-2"/>
          <w:sz w:val="19"/>
          <w:szCs w:val="19"/>
        </w:rPr>
        <w:t xml:space="preserve"> each wholly owned either directly or indirectly by HomeServices of America, Inc. (“HSoA”), a Berkshire Hathaway affiliate. Silverton Mortgage is a wholly-owned indirect subsidiary of Clayton Homes, a Berkshire Hathaway affiliate.</w:t>
      </w:r>
    </w:p>
    <w:p w:rsidR="00C32F7D" w:rsidRDefault="00C32F7D" w:rsidP="00C32F7D">
      <w:pPr>
        <w:spacing w:after="120"/>
        <w:jc w:val="both"/>
        <w:rPr>
          <w:rFonts w:ascii="Times New Roman" w:hAnsi="Times New Roman"/>
          <w:spacing w:val="-2"/>
          <w:sz w:val="19"/>
          <w:szCs w:val="19"/>
        </w:rPr>
      </w:pPr>
      <w:r w:rsidRPr="00EF4411">
        <w:rPr>
          <w:rFonts w:ascii="Times New Roman" w:hAnsi="Times New Roman"/>
          <w:spacing w:val="-2"/>
          <w:sz w:val="19"/>
          <w:szCs w:val="19"/>
        </w:rPr>
        <w:t>Because of these relationships, the referral of a customer (including you) by any of the Affiliated Companies to another may provide the referring company, its affiliates, and/or their employees with a financial or other benefit.</w:t>
      </w:r>
    </w:p>
    <w:p w:rsidR="00D647D9" w:rsidRPr="00BC3792" w:rsidRDefault="00062C80" w:rsidP="00EF4411">
      <w:pPr>
        <w:spacing w:after="120"/>
        <w:jc w:val="both"/>
        <w:rPr>
          <w:rFonts w:ascii="Times New Roman" w:hAnsi="Times New Roman"/>
          <w:sz w:val="20"/>
          <w:szCs w:val="20"/>
        </w:rPr>
      </w:pPr>
      <w:r w:rsidRPr="00BC3792">
        <w:rPr>
          <w:rFonts w:ascii="Times New Roman" w:hAnsi="Times New Roman"/>
          <w:sz w:val="19"/>
          <w:szCs w:val="19"/>
        </w:rPr>
        <w:t>Set forth b</w:t>
      </w:r>
      <w:r w:rsidR="003B5C7A" w:rsidRPr="00BC3792">
        <w:rPr>
          <w:rFonts w:ascii="Times New Roman" w:hAnsi="Times New Roman"/>
          <w:sz w:val="19"/>
          <w:szCs w:val="19"/>
        </w:rPr>
        <w:t xml:space="preserve">elow is the estimated charge or range of </w:t>
      </w:r>
      <w:r w:rsidR="00EC1F3C" w:rsidRPr="00BC3792">
        <w:rPr>
          <w:rFonts w:ascii="Times New Roman" w:hAnsi="Times New Roman"/>
          <w:sz w:val="19"/>
          <w:szCs w:val="19"/>
        </w:rPr>
        <w:t xml:space="preserve">charges </w:t>
      </w:r>
      <w:r w:rsidR="003B5C7A" w:rsidRPr="00BC3792">
        <w:rPr>
          <w:rFonts w:ascii="Times New Roman" w:hAnsi="Times New Roman"/>
          <w:sz w:val="19"/>
          <w:szCs w:val="19"/>
        </w:rPr>
        <w:t xml:space="preserve">for </w:t>
      </w:r>
      <w:r w:rsidR="00EC1F3C" w:rsidRPr="00BC3792">
        <w:rPr>
          <w:rFonts w:ascii="Times New Roman" w:hAnsi="Times New Roman"/>
          <w:sz w:val="19"/>
          <w:szCs w:val="19"/>
        </w:rPr>
        <w:t xml:space="preserve">each of </w:t>
      </w:r>
      <w:r w:rsidR="003B5C7A" w:rsidRPr="00BC3792">
        <w:rPr>
          <w:rFonts w:ascii="Times New Roman" w:hAnsi="Times New Roman"/>
          <w:sz w:val="19"/>
          <w:szCs w:val="19"/>
        </w:rPr>
        <w:t xml:space="preserve">the services listed. You are NOT required to use any of these service providers as a condition of the sale of the subject property or </w:t>
      </w:r>
      <w:r w:rsidR="007D0853" w:rsidRPr="00BC3792">
        <w:rPr>
          <w:rFonts w:ascii="Times New Roman" w:hAnsi="Times New Roman"/>
          <w:sz w:val="19"/>
          <w:szCs w:val="19"/>
        </w:rPr>
        <w:t>to obtain</w:t>
      </w:r>
      <w:r w:rsidR="007D0853" w:rsidRPr="00BC3792" w:rsidDel="007D0853">
        <w:rPr>
          <w:rFonts w:ascii="Times New Roman" w:hAnsi="Times New Roman"/>
          <w:sz w:val="19"/>
          <w:szCs w:val="19"/>
        </w:rPr>
        <w:t xml:space="preserve"> </w:t>
      </w:r>
      <w:r w:rsidR="00DE516A" w:rsidRPr="00BC3792">
        <w:rPr>
          <w:rFonts w:ascii="Times New Roman" w:hAnsi="Times New Roman"/>
          <w:sz w:val="19"/>
          <w:szCs w:val="19"/>
        </w:rPr>
        <w:t>access to any settlement service.</w:t>
      </w:r>
    </w:p>
    <w:p w:rsidR="003B5C7A" w:rsidRDefault="003B5C7A" w:rsidP="00A54C13">
      <w:pPr>
        <w:spacing w:after="120"/>
        <w:jc w:val="both"/>
        <w:rPr>
          <w:rFonts w:ascii="Times New Roman" w:hAnsi="Times New Roman"/>
          <w:b/>
          <w:sz w:val="19"/>
          <w:szCs w:val="19"/>
        </w:rPr>
      </w:pPr>
      <w:r w:rsidRPr="00BC3792">
        <w:rPr>
          <w:rFonts w:ascii="Times New Roman" w:hAnsi="Times New Roman"/>
          <w:b/>
          <w:sz w:val="19"/>
          <w:szCs w:val="19"/>
        </w:rPr>
        <w:t>THERE ARE FREQUENTLY OTHER SETTLEMENT SERVICE PROVIDERS AVAILABLE WITH SIMILAR SERVICES.  YOU ARE FREE TO SHOP AROUND TO DETERMINE THAT YOU ARE RECEIVING THE BEST SERVICES AND THE BEST R</w:t>
      </w:r>
      <w:r w:rsidR="00324D15" w:rsidRPr="00BC3792">
        <w:rPr>
          <w:rFonts w:ascii="Times New Roman" w:hAnsi="Times New Roman"/>
          <w:b/>
          <w:sz w:val="19"/>
          <w:szCs w:val="19"/>
        </w:rPr>
        <w:t>ATE FOR THESE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2234"/>
        <w:gridCol w:w="5240"/>
      </w:tblGrid>
      <w:tr w:rsidR="00EF4411" w:rsidRPr="00BC3792" w:rsidTr="00BD5D26">
        <w:tc>
          <w:tcPr>
            <w:tcW w:w="3208" w:type="dxa"/>
            <w:shd w:val="pct15" w:color="auto" w:fill="auto"/>
          </w:tcPr>
          <w:p w:rsidR="00EF4411" w:rsidRPr="00BD5D26" w:rsidRDefault="00EF4411" w:rsidP="00D22CFD">
            <w:pPr>
              <w:spacing w:after="0" w:line="240" w:lineRule="auto"/>
              <w:jc w:val="both"/>
              <w:rPr>
                <w:rFonts w:ascii="Times New Roman" w:hAnsi="Times New Roman"/>
                <w:b/>
                <w:sz w:val="19"/>
                <w:szCs w:val="19"/>
                <w:u w:val="single"/>
              </w:rPr>
            </w:pPr>
            <w:r w:rsidRPr="00BD5D26">
              <w:rPr>
                <w:rFonts w:ascii="Times New Roman" w:hAnsi="Times New Roman"/>
                <w:b/>
                <w:sz w:val="19"/>
                <w:szCs w:val="19"/>
                <w:u w:val="single"/>
              </w:rPr>
              <w:t>Service Provider</w:t>
            </w:r>
          </w:p>
        </w:tc>
        <w:tc>
          <w:tcPr>
            <w:tcW w:w="2234" w:type="dxa"/>
            <w:shd w:val="pct15" w:color="auto" w:fill="auto"/>
          </w:tcPr>
          <w:p w:rsidR="00EF4411" w:rsidRPr="00BD5D26" w:rsidRDefault="00EF4411" w:rsidP="00D22CFD">
            <w:pPr>
              <w:spacing w:after="0" w:line="240" w:lineRule="auto"/>
              <w:jc w:val="both"/>
              <w:rPr>
                <w:rFonts w:ascii="Times New Roman" w:hAnsi="Times New Roman"/>
                <w:b/>
                <w:sz w:val="19"/>
                <w:szCs w:val="19"/>
                <w:u w:val="single"/>
              </w:rPr>
            </w:pPr>
            <w:r w:rsidRPr="00BD5D26">
              <w:rPr>
                <w:rFonts w:ascii="Times New Roman" w:hAnsi="Times New Roman"/>
                <w:b/>
                <w:sz w:val="19"/>
                <w:szCs w:val="19"/>
                <w:u w:val="single"/>
              </w:rPr>
              <w:t>Service Provided</w:t>
            </w:r>
          </w:p>
        </w:tc>
        <w:tc>
          <w:tcPr>
            <w:tcW w:w="5240" w:type="dxa"/>
            <w:shd w:val="pct15" w:color="auto" w:fill="auto"/>
          </w:tcPr>
          <w:p w:rsidR="00EF4411" w:rsidRPr="00BD5D26" w:rsidRDefault="00EF4411" w:rsidP="00D22CFD">
            <w:pPr>
              <w:spacing w:after="0" w:line="240" w:lineRule="auto"/>
              <w:jc w:val="both"/>
              <w:rPr>
                <w:rFonts w:ascii="Times New Roman" w:hAnsi="Times New Roman"/>
                <w:b/>
                <w:sz w:val="19"/>
                <w:szCs w:val="19"/>
                <w:u w:val="single"/>
              </w:rPr>
            </w:pPr>
            <w:r w:rsidRPr="00BD5D26">
              <w:rPr>
                <w:rFonts w:ascii="Times New Roman" w:hAnsi="Times New Roman"/>
                <w:b/>
                <w:sz w:val="19"/>
                <w:szCs w:val="19"/>
                <w:u w:val="single"/>
              </w:rPr>
              <w:t>Charge or Range of Charges</w:t>
            </w:r>
          </w:p>
        </w:tc>
      </w:tr>
      <w:tr w:rsidR="00EF4411" w:rsidRPr="00BC3792" w:rsidTr="00BD5D26">
        <w:tc>
          <w:tcPr>
            <w:tcW w:w="3208" w:type="dxa"/>
            <w:shd w:val="clear" w:color="auto" w:fill="auto"/>
          </w:tcPr>
          <w:p w:rsidR="00EC23AF" w:rsidRPr="004F5DAC" w:rsidRDefault="00DE74C3" w:rsidP="003A07DE">
            <w:pPr>
              <w:spacing w:after="0" w:line="240" w:lineRule="auto"/>
              <w:rPr>
                <w:rFonts w:ascii="Times New Roman" w:hAnsi="Times New Roman"/>
                <w:sz w:val="19"/>
                <w:szCs w:val="19"/>
              </w:rPr>
            </w:pPr>
            <w:r>
              <w:rPr>
                <w:rFonts w:ascii="Times New Roman" w:hAnsi="Times New Roman"/>
                <w:sz w:val="19"/>
                <w:szCs w:val="19"/>
              </w:rPr>
              <w:t>The Brokerages (as defined above)</w:t>
            </w:r>
          </w:p>
        </w:tc>
        <w:tc>
          <w:tcPr>
            <w:tcW w:w="2234" w:type="dxa"/>
            <w:shd w:val="clear" w:color="auto" w:fill="auto"/>
          </w:tcPr>
          <w:p w:rsidR="00EF4411" w:rsidRPr="006917BE" w:rsidRDefault="00EF4411" w:rsidP="001B5659">
            <w:pPr>
              <w:spacing w:after="0" w:line="240" w:lineRule="auto"/>
              <w:jc w:val="both"/>
              <w:rPr>
                <w:rFonts w:ascii="Times New Roman" w:hAnsi="Times New Roman"/>
                <w:sz w:val="19"/>
                <w:szCs w:val="19"/>
              </w:rPr>
            </w:pPr>
            <w:r w:rsidRPr="006917BE">
              <w:rPr>
                <w:rFonts w:ascii="Times New Roman" w:hAnsi="Times New Roman"/>
                <w:sz w:val="19"/>
                <w:szCs w:val="19"/>
              </w:rPr>
              <w:t>Broker’s Commission</w:t>
            </w:r>
          </w:p>
        </w:tc>
        <w:tc>
          <w:tcPr>
            <w:tcW w:w="5240" w:type="dxa"/>
            <w:shd w:val="clear" w:color="auto" w:fill="auto"/>
          </w:tcPr>
          <w:p w:rsidR="001B0DA2" w:rsidRPr="006917BE" w:rsidRDefault="00DE74C3" w:rsidP="00DE74C3">
            <w:pPr>
              <w:spacing w:after="0" w:line="240" w:lineRule="auto"/>
              <w:rPr>
                <w:rFonts w:ascii="Times New Roman" w:hAnsi="Times New Roman"/>
                <w:sz w:val="19"/>
                <w:szCs w:val="19"/>
              </w:rPr>
            </w:pPr>
            <w:r>
              <w:rPr>
                <w:rFonts w:ascii="Times New Roman" w:hAnsi="Times New Roman"/>
                <w:sz w:val="19"/>
                <w:szCs w:val="19"/>
              </w:rPr>
              <w:t xml:space="preserve">3% - 10% </w:t>
            </w:r>
            <w:r w:rsidRPr="00D22CFD">
              <w:rPr>
                <w:rFonts w:ascii="Times New Roman" w:hAnsi="Times New Roman"/>
                <w:sz w:val="19"/>
                <w:szCs w:val="19"/>
              </w:rPr>
              <w:t>of the sales price</w:t>
            </w:r>
            <w:r>
              <w:rPr>
                <w:rFonts w:ascii="Times New Roman" w:hAnsi="Times New Roman"/>
                <w:sz w:val="19"/>
                <w:szCs w:val="19"/>
              </w:rPr>
              <w:t xml:space="preserve"> plus up to </w:t>
            </w:r>
            <w:r w:rsidRPr="00715AA7">
              <w:rPr>
                <w:rFonts w:ascii="Times New Roman" w:hAnsi="Times New Roman"/>
                <w:sz w:val="19"/>
                <w:szCs w:val="19"/>
              </w:rPr>
              <w:t>$</w:t>
            </w:r>
            <w:r w:rsidR="002D20D7">
              <w:rPr>
                <w:rFonts w:ascii="Times New Roman" w:hAnsi="Times New Roman"/>
                <w:sz w:val="19"/>
                <w:szCs w:val="19"/>
              </w:rPr>
              <w:t>1,</w:t>
            </w:r>
            <w:r w:rsidR="00BE038D">
              <w:rPr>
                <w:rFonts w:ascii="Times New Roman" w:hAnsi="Times New Roman"/>
                <w:sz w:val="19"/>
                <w:szCs w:val="19"/>
              </w:rPr>
              <w:t>2</w:t>
            </w:r>
            <w:bookmarkStart w:id="0" w:name="_GoBack"/>
            <w:bookmarkEnd w:id="0"/>
            <w:r>
              <w:rPr>
                <w:rFonts w:ascii="Times New Roman" w:hAnsi="Times New Roman"/>
                <w:sz w:val="19"/>
                <w:szCs w:val="19"/>
              </w:rPr>
              <w:t>00.  Fees vary by region and sales price and may be subject to a minimum.</w:t>
            </w:r>
          </w:p>
        </w:tc>
      </w:tr>
      <w:tr w:rsidR="00C9594B" w:rsidRPr="00BC3792" w:rsidTr="00BD5D26">
        <w:trPr>
          <w:trHeight w:hRule="exact" w:val="72"/>
        </w:trPr>
        <w:tc>
          <w:tcPr>
            <w:tcW w:w="10682" w:type="dxa"/>
            <w:gridSpan w:val="3"/>
            <w:shd w:val="clear" w:color="auto" w:fill="D9D9D9" w:themeFill="background1" w:themeFillShade="D9"/>
          </w:tcPr>
          <w:p w:rsidR="00C9594B" w:rsidRPr="003E729A" w:rsidRDefault="00C9594B" w:rsidP="00CC7FBF">
            <w:pPr>
              <w:spacing w:after="0" w:line="240" w:lineRule="auto"/>
              <w:rPr>
                <w:rFonts w:ascii="Times New Roman" w:hAnsi="Times New Roman"/>
                <w:sz w:val="19"/>
                <w:szCs w:val="19"/>
              </w:rPr>
            </w:pPr>
          </w:p>
        </w:tc>
      </w:tr>
      <w:tr w:rsidR="00CB7CA3" w:rsidRPr="00BC3792" w:rsidTr="00BD5D26">
        <w:tc>
          <w:tcPr>
            <w:tcW w:w="3208" w:type="dxa"/>
            <w:vMerge w:val="restart"/>
            <w:shd w:val="clear" w:color="auto" w:fill="auto"/>
          </w:tcPr>
          <w:p w:rsidR="00CB7CA3" w:rsidRDefault="00CB7CA3" w:rsidP="00CB7CA3">
            <w:pPr>
              <w:spacing w:after="0" w:line="240" w:lineRule="auto"/>
              <w:jc w:val="both"/>
              <w:rPr>
                <w:rFonts w:ascii="Times New Roman" w:hAnsi="Times New Roman"/>
                <w:sz w:val="19"/>
                <w:szCs w:val="19"/>
                <w:u w:val="single"/>
              </w:rPr>
            </w:pPr>
            <w:r>
              <w:rPr>
                <w:rFonts w:ascii="Times New Roman" w:hAnsi="Times New Roman"/>
                <w:sz w:val="19"/>
                <w:szCs w:val="19"/>
              </w:rPr>
              <w:t>HomeServices Lending, LLC*</w:t>
            </w: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B14243">
              <w:rPr>
                <w:rFonts w:ascii="Times New Roman" w:hAnsi="Times New Roman"/>
                <w:sz w:val="19"/>
                <w:szCs w:val="19"/>
              </w:rPr>
              <w:t>Loan Origination</w:t>
            </w:r>
            <w:r>
              <w:rPr>
                <w:rFonts w:ascii="Times New Roman" w:hAnsi="Times New Roman"/>
                <w:sz w:val="19"/>
                <w:szCs w:val="19"/>
              </w:rPr>
              <w:t xml:space="preserve"> Fee</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B14243">
              <w:rPr>
                <w:rFonts w:ascii="Times New Roman" w:hAnsi="Times New Roman"/>
                <w:sz w:val="19"/>
                <w:szCs w:val="19"/>
              </w:rPr>
              <w:t>$545 - $1,945</w:t>
            </w:r>
          </w:p>
        </w:tc>
      </w:tr>
      <w:tr w:rsidR="00CB7CA3" w:rsidRPr="00BC3792" w:rsidTr="00BD5D26">
        <w:tc>
          <w:tcPr>
            <w:tcW w:w="3208" w:type="dxa"/>
            <w:vMerge/>
            <w:shd w:val="clear" w:color="auto" w:fill="auto"/>
            <w:vAlign w:val="center"/>
          </w:tcPr>
          <w:p w:rsidR="00CB7CA3" w:rsidRPr="004F5DAC" w:rsidRDefault="00CB7CA3" w:rsidP="00CB7CA3">
            <w:pPr>
              <w:spacing w:after="0" w:line="240" w:lineRule="auto"/>
              <w:jc w:val="both"/>
              <w:rPr>
                <w:rFonts w:ascii="Times New Roman" w:hAnsi="Times New Roman"/>
                <w:sz w:val="19"/>
                <w:szCs w:val="19"/>
                <w:u w:val="single"/>
              </w:rPr>
            </w:pP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B14243">
              <w:rPr>
                <w:rFonts w:ascii="Times New Roman" w:hAnsi="Times New Roman"/>
                <w:sz w:val="19"/>
                <w:szCs w:val="19"/>
              </w:rPr>
              <w:t>Appraisal</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B14243">
              <w:rPr>
                <w:rFonts w:ascii="Times New Roman" w:hAnsi="Times New Roman"/>
                <w:sz w:val="19"/>
                <w:szCs w:val="19"/>
              </w:rPr>
              <w:t>$395 - $1,000</w:t>
            </w:r>
          </w:p>
        </w:tc>
      </w:tr>
      <w:tr w:rsidR="00CB7CA3" w:rsidRPr="00BC3792" w:rsidTr="00BD5D26">
        <w:tc>
          <w:tcPr>
            <w:tcW w:w="3208" w:type="dxa"/>
            <w:vMerge/>
            <w:shd w:val="clear" w:color="auto" w:fill="auto"/>
            <w:vAlign w:val="center"/>
          </w:tcPr>
          <w:p w:rsidR="00CB7CA3" w:rsidRPr="004F5DAC" w:rsidRDefault="00CB7CA3" w:rsidP="00CB7CA3">
            <w:pPr>
              <w:spacing w:after="0" w:line="240" w:lineRule="auto"/>
              <w:jc w:val="both"/>
              <w:rPr>
                <w:rFonts w:ascii="Times New Roman" w:hAnsi="Times New Roman"/>
                <w:sz w:val="19"/>
                <w:szCs w:val="19"/>
                <w:u w:val="single"/>
              </w:rPr>
            </w:pPr>
          </w:p>
        </w:tc>
        <w:tc>
          <w:tcPr>
            <w:tcW w:w="2234" w:type="dxa"/>
            <w:shd w:val="clear" w:color="auto" w:fill="auto"/>
          </w:tcPr>
          <w:p w:rsidR="00CB7CA3" w:rsidRPr="00B14243" w:rsidRDefault="00CB7CA3" w:rsidP="00CB7CA3">
            <w:pPr>
              <w:spacing w:after="0" w:line="240" w:lineRule="auto"/>
              <w:jc w:val="both"/>
              <w:rPr>
                <w:rFonts w:ascii="Times New Roman" w:hAnsi="Times New Roman"/>
                <w:sz w:val="19"/>
                <w:szCs w:val="19"/>
              </w:rPr>
            </w:pPr>
            <w:r w:rsidRPr="00B14243">
              <w:rPr>
                <w:rFonts w:ascii="Times New Roman" w:hAnsi="Times New Roman"/>
                <w:sz w:val="19"/>
                <w:szCs w:val="19"/>
              </w:rPr>
              <w:t>Third Party Fees</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B14243">
              <w:rPr>
                <w:rFonts w:ascii="Times New Roman" w:hAnsi="Times New Roman"/>
                <w:sz w:val="19"/>
                <w:szCs w:val="19"/>
              </w:rPr>
              <w:t>$19.75 - $144.50 (credit report, flood cert fee)</w:t>
            </w:r>
          </w:p>
        </w:tc>
      </w:tr>
      <w:tr w:rsidR="005E0C9E" w:rsidRPr="00BC3792" w:rsidTr="00BD5D26">
        <w:trPr>
          <w:trHeight w:hRule="exact" w:val="72"/>
        </w:trPr>
        <w:tc>
          <w:tcPr>
            <w:tcW w:w="10682" w:type="dxa"/>
            <w:gridSpan w:val="3"/>
            <w:shd w:val="clear" w:color="auto" w:fill="D9D9D9" w:themeFill="background1" w:themeFillShade="D9"/>
          </w:tcPr>
          <w:p w:rsidR="005E0C9E" w:rsidRPr="00824E82" w:rsidRDefault="005E0C9E" w:rsidP="005E0C9E">
            <w:pPr>
              <w:spacing w:after="0" w:line="240" w:lineRule="auto"/>
              <w:rPr>
                <w:rFonts w:ascii="Times New Roman" w:hAnsi="Times New Roman"/>
                <w:sz w:val="19"/>
                <w:szCs w:val="19"/>
              </w:rPr>
            </w:pPr>
          </w:p>
        </w:tc>
      </w:tr>
      <w:tr w:rsidR="00CB7CA3" w:rsidRPr="00BC3792" w:rsidTr="00BD5D26">
        <w:tc>
          <w:tcPr>
            <w:tcW w:w="3208" w:type="dxa"/>
            <w:vMerge w:val="restart"/>
            <w:shd w:val="clear" w:color="auto" w:fill="auto"/>
          </w:tcPr>
          <w:p w:rsidR="00CB7CA3" w:rsidRDefault="00CB7CA3" w:rsidP="00CB7CA3">
            <w:pPr>
              <w:spacing w:after="0" w:line="240" w:lineRule="auto"/>
              <w:rPr>
                <w:rFonts w:ascii="Times New Roman" w:hAnsi="Times New Roman"/>
                <w:sz w:val="19"/>
                <w:szCs w:val="19"/>
              </w:rPr>
            </w:pPr>
            <w:r>
              <w:rPr>
                <w:rFonts w:ascii="Times New Roman" w:hAnsi="Times New Roman"/>
                <w:spacing w:val="-2"/>
                <w:sz w:val="19"/>
                <w:szCs w:val="19"/>
              </w:rPr>
              <w:t>Prosperity Home Mortgage, LLC**</w:t>
            </w:r>
          </w:p>
        </w:tc>
        <w:tc>
          <w:tcPr>
            <w:tcW w:w="2234" w:type="dxa"/>
            <w:shd w:val="clear" w:color="auto" w:fill="auto"/>
          </w:tcPr>
          <w:p w:rsidR="00CB7CA3" w:rsidRPr="005523B9" w:rsidRDefault="00CB7CA3" w:rsidP="00CB7CA3">
            <w:pPr>
              <w:spacing w:after="0" w:line="240" w:lineRule="auto"/>
              <w:jc w:val="both"/>
              <w:rPr>
                <w:rFonts w:ascii="Times New Roman" w:hAnsi="Times New Roman"/>
                <w:sz w:val="19"/>
                <w:szCs w:val="19"/>
              </w:rPr>
            </w:pPr>
            <w:r w:rsidRPr="005523B9">
              <w:rPr>
                <w:rFonts w:ascii="Times New Roman" w:hAnsi="Times New Roman"/>
                <w:sz w:val="19"/>
                <w:szCs w:val="19"/>
              </w:rPr>
              <w:t>Loan Origination</w:t>
            </w:r>
            <w:r>
              <w:rPr>
                <w:rFonts w:ascii="Times New Roman" w:hAnsi="Times New Roman"/>
                <w:sz w:val="19"/>
                <w:szCs w:val="19"/>
              </w:rPr>
              <w:t xml:space="preserve"> Fee</w:t>
            </w:r>
          </w:p>
        </w:tc>
        <w:tc>
          <w:tcPr>
            <w:tcW w:w="5240" w:type="dxa"/>
            <w:shd w:val="clear" w:color="auto" w:fill="auto"/>
          </w:tcPr>
          <w:p w:rsidR="00CB7CA3" w:rsidRPr="005523B9" w:rsidRDefault="00CB7CA3" w:rsidP="00CB7CA3">
            <w:pPr>
              <w:spacing w:after="0" w:line="240" w:lineRule="auto"/>
              <w:rPr>
                <w:rFonts w:ascii="Times New Roman" w:hAnsi="Times New Roman"/>
                <w:sz w:val="19"/>
                <w:szCs w:val="19"/>
              </w:rPr>
            </w:pPr>
            <w:r w:rsidRPr="005523B9">
              <w:rPr>
                <w:rFonts w:ascii="Times New Roman" w:hAnsi="Times New Roman"/>
                <w:sz w:val="19"/>
                <w:szCs w:val="19"/>
              </w:rPr>
              <w:t>$0 - $1,</w:t>
            </w:r>
            <w:r>
              <w:rPr>
                <w:rFonts w:ascii="Times New Roman" w:hAnsi="Times New Roman"/>
                <w:sz w:val="19"/>
                <w:szCs w:val="19"/>
              </w:rPr>
              <w:t>199</w:t>
            </w:r>
            <w:r w:rsidRPr="005523B9">
              <w:rPr>
                <w:rFonts w:ascii="Times New Roman" w:hAnsi="Times New Roman"/>
                <w:sz w:val="19"/>
                <w:szCs w:val="19"/>
              </w:rPr>
              <w:t xml:space="preserve"> </w:t>
            </w:r>
            <w:r>
              <w:rPr>
                <w:rFonts w:ascii="Times New Roman" w:hAnsi="Times New Roman"/>
                <w:sz w:val="19"/>
                <w:szCs w:val="19"/>
              </w:rPr>
              <w:t xml:space="preserve">(2% of loan amount on </w:t>
            </w:r>
            <w:r w:rsidRPr="005523B9">
              <w:rPr>
                <w:rFonts w:ascii="Times New Roman" w:hAnsi="Times New Roman"/>
                <w:sz w:val="19"/>
                <w:szCs w:val="19"/>
              </w:rPr>
              <w:t>some bond products)</w:t>
            </w:r>
          </w:p>
        </w:tc>
      </w:tr>
      <w:tr w:rsidR="00CB7CA3" w:rsidRPr="00BC3792" w:rsidTr="00BD5D26">
        <w:tc>
          <w:tcPr>
            <w:tcW w:w="3208" w:type="dxa"/>
            <w:vMerge/>
            <w:shd w:val="clear" w:color="auto" w:fill="auto"/>
          </w:tcPr>
          <w:p w:rsidR="00CB7CA3" w:rsidRDefault="00CB7CA3" w:rsidP="00CB7CA3">
            <w:pPr>
              <w:spacing w:after="0" w:line="240" w:lineRule="auto"/>
              <w:jc w:val="both"/>
              <w:rPr>
                <w:rFonts w:ascii="Times New Roman" w:hAnsi="Times New Roman"/>
                <w:sz w:val="19"/>
                <w:szCs w:val="19"/>
              </w:rPr>
            </w:pP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5523B9">
              <w:rPr>
                <w:rFonts w:ascii="Times New Roman" w:hAnsi="Times New Roman"/>
                <w:sz w:val="19"/>
                <w:szCs w:val="19"/>
              </w:rPr>
              <w:t>Appraisal</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5523B9">
              <w:rPr>
                <w:rFonts w:ascii="Times New Roman" w:hAnsi="Times New Roman"/>
                <w:sz w:val="19"/>
                <w:szCs w:val="19"/>
              </w:rPr>
              <w:t>$425 - $1,102</w:t>
            </w:r>
          </w:p>
        </w:tc>
      </w:tr>
      <w:tr w:rsidR="00CB7CA3" w:rsidRPr="00BC3792" w:rsidTr="00BD5D26">
        <w:tc>
          <w:tcPr>
            <w:tcW w:w="3208" w:type="dxa"/>
            <w:vMerge/>
            <w:shd w:val="clear" w:color="auto" w:fill="auto"/>
          </w:tcPr>
          <w:p w:rsidR="00CB7CA3" w:rsidRDefault="00CB7CA3" w:rsidP="00CB7CA3">
            <w:pPr>
              <w:spacing w:after="0" w:line="240" w:lineRule="auto"/>
              <w:jc w:val="both"/>
              <w:rPr>
                <w:rFonts w:ascii="Times New Roman" w:hAnsi="Times New Roman"/>
                <w:sz w:val="19"/>
                <w:szCs w:val="19"/>
              </w:rPr>
            </w:pP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Pr>
                <w:rFonts w:ascii="Times New Roman" w:hAnsi="Times New Roman"/>
                <w:sz w:val="19"/>
                <w:szCs w:val="19"/>
              </w:rPr>
              <w:t>Third Party Fees</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Pr>
                <w:rFonts w:ascii="Times New Roman" w:hAnsi="Times New Roman"/>
                <w:sz w:val="19"/>
                <w:szCs w:val="19"/>
              </w:rPr>
              <w:t>$33</w:t>
            </w:r>
            <w:r w:rsidRPr="005523B9">
              <w:rPr>
                <w:rFonts w:ascii="Times New Roman" w:hAnsi="Times New Roman"/>
                <w:sz w:val="19"/>
                <w:szCs w:val="19"/>
              </w:rPr>
              <w:t xml:space="preserve"> - $</w:t>
            </w:r>
            <w:r>
              <w:rPr>
                <w:rFonts w:ascii="Times New Roman" w:hAnsi="Times New Roman"/>
                <w:sz w:val="19"/>
                <w:szCs w:val="19"/>
              </w:rPr>
              <w:t>215 (credit report, tax service fee, flood cert fee)</w:t>
            </w:r>
          </w:p>
        </w:tc>
      </w:tr>
      <w:tr w:rsidR="00587AA3" w:rsidRPr="00BC3792" w:rsidTr="00587AA3">
        <w:trPr>
          <w:trHeight w:hRule="exact" w:val="72"/>
        </w:trPr>
        <w:tc>
          <w:tcPr>
            <w:tcW w:w="10682" w:type="dxa"/>
            <w:gridSpan w:val="3"/>
            <w:shd w:val="clear" w:color="auto" w:fill="D9D9D9" w:themeFill="background1" w:themeFillShade="D9"/>
          </w:tcPr>
          <w:p w:rsidR="00587AA3" w:rsidRDefault="00587AA3" w:rsidP="005E0C9E">
            <w:pPr>
              <w:spacing w:after="0" w:line="240" w:lineRule="auto"/>
              <w:rPr>
                <w:rFonts w:ascii="Times New Roman" w:hAnsi="Times New Roman"/>
                <w:sz w:val="19"/>
                <w:szCs w:val="19"/>
              </w:rPr>
            </w:pPr>
          </w:p>
        </w:tc>
      </w:tr>
      <w:tr w:rsidR="00CB7CA3" w:rsidRPr="00BC3792" w:rsidTr="00BD5D26">
        <w:tc>
          <w:tcPr>
            <w:tcW w:w="3208" w:type="dxa"/>
            <w:vMerge w:val="restart"/>
            <w:shd w:val="clear" w:color="auto" w:fill="auto"/>
          </w:tcPr>
          <w:p w:rsidR="00CB7CA3" w:rsidRPr="00CB7CA3" w:rsidRDefault="00CB7CA3" w:rsidP="00CB7CA3">
            <w:pPr>
              <w:spacing w:after="0" w:line="240" w:lineRule="auto"/>
              <w:jc w:val="both"/>
              <w:rPr>
                <w:rFonts w:ascii="Times New Roman" w:hAnsi="Times New Roman"/>
                <w:sz w:val="19"/>
                <w:szCs w:val="19"/>
              </w:rPr>
            </w:pPr>
            <w:r w:rsidRPr="00CB7CA3">
              <w:rPr>
                <w:rFonts w:ascii="Times New Roman" w:hAnsi="Times New Roman"/>
                <w:sz w:val="19"/>
                <w:szCs w:val="19"/>
              </w:rPr>
              <w:t>Trident Mortgage</w:t>
            </w:r>
            <w:r w:rsidR="00E000F8">
              <w:rPr>
                <w:rFonts w:ascii="Times New Roman" w:hAnsi="Times New Roman"/>
                <w:sz w:val="19"/>
                <w:szCs w:val="19"/>
              </w:rPr>
              <w:t xml:space="preserve"> Company LP</w:t>
            </w: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CB7CA3">
              <w:rPr>
                <w:rFonts w:ascii="Times New Roman" w:hAnsi="Times New Roman"/>
                <w:sz w:val="19"/>
                <w:szCs w:val="19"/>
              </w:rPr>
              <w:t>Loan Origination</w:t>
            </w:r>
          </w:p>
        </w:tc>
        <w:tc>
          <w:tcPr>
            <w:tcW w:w="5240" w:type="dxa"/>
            <w:shd w:val="clear" w:color="auto" w:fill="auto"/>
          </w:tcPr>
          <w:p w:rsidR="00CB7CA3" w:rsidRPr="00CB7CA3" w:rsidRDefault="00E000F8" w:rsidP="00CB7CA3">
            <w:pPr>
              <w:spacing w:after="0" w:line="240" w:lineRule="auto"/>
              <w:jc w:val="both"/>
              <w:rPr>
                <w:rFonts w:ascii="Times New Roman" w:hAnsi="Times New Roman"/>
                <w:sz w:val="19"/>
                <w:szCs w:val="19"/>
              </w:rPr>
            </w:pPr>
            <w:r w:rsidRPr="00E000F8">
              <w:rPr>
                <w:rFonts w:ascii="Times New Roman" w:hAnsi="Times New Roman"/>
                <w:spacing w:val="-4"/>
                <w:sz w:val="19"/>
                <w:szCs w:val="19"/>
              </w:rPr>
              <w:t>0.0% - 1.0% of loan amount, plus an application fee of $995 - $1,151</w:t>
            </w:r>
          </w:p>
        </w:tc>
      </w:tr>
      <w:tr w:rsidR="00CB7CA3" w:rsidRPr="00BC3792" w:rsidTr="00BD5D26">
        <w:tc>
          <w:tcPr>
            <w:tcW w:w="3208" w:type="dxa"/>
            <w:vMerge/>
            <w:shd w:val="clear" w:color="auto" w:fill="auto"/>
          </w:tcPr>
          <w:p w:rsidR="00CB7CA3" w:rsidRPr="00CB7CA3" w:rsidRDefault="00CB7CA3" w:rsidP="00CB7CA3">
            <w:pPr>
              <w:spacing w:after="0" w:line="240" w:lineRule="auto"/>
              <w:jc w:val="both"/>
              <w:rPr>
                <w:rFonts w:ascii="Times New Roman" w:hAnsi="Times New Roman"/>
                <w:sz w:val="19"/>
                <w:szCs w:val="19"/>
              </w:rPr>
            </w:pP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CB7CA3">
              <w:rPr>
                <w:rFonts w:ascii="Times New Roman" w:hAnsi="Times New Roman"/>
                <w:sz w:val="19"/>
                <w:szCs w:val="19"/>
              </w:rPr>
              <w:t>Appraisal</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CB7CA3">
              <w:rPr>
                <w:rFonts w:ascii="Times New Roman" w:hAnsi="Times New Roman"/>
                <w:sz w:val="19"/>
                <w:szCs w:val="19"/>
              </w:rPr>
              <w:t>$300 - $925</w:t>
            </w:r>
          </w:p>
        </w:tc>
      </w:tr>
      <w:tr w:rsidR="00CB7CA3" w:rsidRPr="00BC3792" w:rsidTr="00BD5D26">
        <w:tc>
          <w:tcPr>
            <w:tcW w:w="3208" w:type="dxa"/>
            <w:vMerge/>
            <w:shd w:val="clear" w:color="auto" w:fill="auto"/>
          </w:tcPr>
          <w:p w:rsidR="00CB7CA3" w:rsidRPr="00CB7CA3" w:rsidRDefault="00CB7CA3" w:rsidP="00CB7CA3">
            <w:pPr>
              <w:spacing w:after="0" w:line="240" w:lineRule="auto"/>
              <w:jc w:val="both"/>
              <w:rPr>
                <w:rFonts w:ascii="Times New Roman" w:hAnsi="Times New Roman"/>
                <w:sz w:val="19"/>
                <w:szCs w:val="19"/>
              </w:rPr>
            </w:pPr>
          </w:p>
        </w:tc>
        <w:tc>
          <w:tcPr>
            <w:tcW w:w="2234" w:type="dxa"/>
            <w:shd w:val="clear" w:color="auto" w:fill="auto"/>
          </w:tcPr>
          <w:p w:rsidR="00CB7CA3" w:rsidRPr="00CB7CA3" w:rsidRDefault="00CB7CA3" w:rsidP="00CB7CA3">
            <w:pPr>
              <w:spacing w:after="0" w:line="240" w:lineRule="auto"/>
              <w:jc w:val="both"/>
              <w:rPr>
                <w:rFonts w:ascii="Times New Roman" w:hAnsi="Times New Roman"/>
                <w:sz w:val="19"/>
                <w:szCs w:val="19"/>
              </w:rPr>
            </w:pPr>
            <w:r w:rsidRPr="00CB7CA3">
              <w:rPr>
                <w:rFonts w:ascii="Times New Roman" w:hAnsi="Times New Roman"/>
                <w:sz w:val="19"/>
                <w:szCs w:val="19"/>
              </w:rPr>
              <w:t>Third Party Fees</w:t>
            </w:r>
          </w:p>
        </w:tc>
        <w:tc>
          <w:tcPr>
            <w:tcW w:w="5240" w:type="dxa"/>
            <w:shd w:val="clear" w:color="auto" w:fill="auto"/>
          </w:tcPr>
          <w:p w:rsidR="00CB7CA3" w:rsidRPr="00CB7CA3" w:rsidRDefault="00CB7CA3" w:rsidP="00CB7CA3">
            <w:pPr>
              <w:spacing w:after="0" w:line="240" w:lineRule="auto"/>
              <w:rPr>
                <w:rFonts w:ascii="Times New Roman" w:hAnsi="Times New Roman"/>
                <w:sz w:val="19"/>
                <w:szCs w:val="19"/>
              </w:rPr>
            </w:pPr>
            <w:r w:rsidRPr="00CB7CA3">
              <w:rPr>
                <w:rFonts w:ascii="Times New Roman" w:hAnsi="Times New Roman"/>
                <w:sz w:val="19"/>
                <w:szCs w:val="19"/>
              </w:rPr>
              <w:t>$130 - $310 (credit report, tax service fee, flood cert fee)</w:t>
            </w:r>
          </w:p>
        </w:tc>
      </w:tr>
      <w:tr w:rsidR="00CB7CA3" w:rsidRPr="00BC3792" w:rsidTr="00E000F8">
        <w:trPr>
          <w:trHeight w:hRule="exact" w:val="72"/>
        </w:trPr>
        <w:tc>
          <w:tcPr>
            <w:tcW w:w="10682" w:type="dxa"/>
            <w:gridSpan w:val="3"/>
            <w:shd w:val="clear" w:color="auto" w:fill="D9D9D9" w:themeFill="background1" w:themeFillShade="D9"/>
          </w:tcPr>
          <w:p w:rsidR="00CB7CA3" w:rsidRDefault="00CB7CA3" w:rsidP="00CB7CA3">
            <w:pPr>
              <w:spacing w:after="0" w:line="240" w:lineRule="auto"/>
              <w:rPr>
                <w:rFonts w:ascii="Times New Roman" w:hAnsi="Times New Roman"/>
                <w:sz w:val="19"/>
                <w:szCs w:val="19"/>
              </w:rPr>
            </w:pPr>
          </w:p>
        </w:tc>
      </w:tr>
      <w:tr w:rsidR="00E000F8" w:rsidRPr="00BC3792" w:rsidTr="00BD5D26">
        <w:tc>
          <w:tcPr>
            <w:tcW w:w="3208" w:type="dxa"/>
            <w:vMerge w:val="restart"/>
            <w:shd w:val="clear" w:color="auto" w:fill="auto"/>
          </w:tcPr>
          <w:p w:rsidR="00E000F8" w:rsidRPr="00E000F8" w:rsidRDefault="00E000F8" w:rsidP="00E000F8">
            <w:pPr>
              <w:spacing w:after="0" w:line="240" w:lineRule="auto"/>
              <w:jc w:val="both"/>
              <w:rPr>
                <w:rFonts w:ascii="Times New Roman" w:hAnsi="Times New Roman"/>
                <w:sz w:val="19"/>
                <w:szCs w:val="19"/>
              </w:rPr>
            </w:pPr>
            <w:r w:rsidRPr="00E000F8">
              <w:rPr>
                <w:rFonts w:ascii="Times New Roman" w:hAnsi="Times New Roman"/>
                <w:sz w:val="19"/>
                <w:szCs w:val="19"/>
              </w:rPr>
              <w:t>Thoroughbred Mortgage</w:t>
            </w:r>
          </w:p>
        </w:tc>
        <w:tc>
          <w:tcPr>
            <w:tcW w:w="2234" w:type="dxa"/>
            <w:shd w:val="clear" w:color="auto" w:fill="auto"/>
          </w:tcPr>
          <w:p w:rsidR="00E000F8" w:rsidRPr="00E000F8" w:rsidRDefault="00E000F8" w:rsidP="00E000F8">
            <w:pPr>
              <w:spacing w:after="0" w:line="240" w:lineRule="auto"/>
              <w:rPr>
                <w:rFonts w:ascii="Times New Roman" w:hAnsi="Times New Roman"/>
                <w:sz w:val="19"/>
                <w:szCs w:val="19"/>
              </w:rPr>
            </w:pPr>
            <w:r w:rsidRPr="00E000F8">
              <w:rPr>
                <w:rFonts w:ascii="Times New Roman" w:hAnsi="Times New Roman"/>
                <w:sz w:val="19"/>
                <w:szCs w:val="19"/>
              </w:rPr>
              <w:t>Loan Origination</w:t>
            </w:r>
          </w:p>
        </w:tc>
        <w:tc>
          <w:tcPr>
            <w:tcW w:w="5240" w:type="dxa"/>
            <w:shd w:val="clear" w:color="auto" w:fill="auto"/>
          </w:tcPr>
          <w:p w:rsidR="00E000F8" w:rsidRPr="00E000F8" w:rsidRDefault="00E000F8" w:rsidP="00E000F8">
            <w:pPr>
              <w:spacing w:after="0" w:line="240" w:lineRule="auto"/>
              <w:rPr>
                <w:rFonts w:ascii="Times New Roman" w:hAnsi="Times New Roman"/>
                <w:spacing w:val="-4"/>
                <w:sz w:val="19"/>
                <w:szCs w:val="19"/>
              </w:rPr>
            </w:pPr>
            <w:r w:rsidRPr="00E000F8">
              <w:rPr>
                <w:rFonts w:ascii="Times New Roman" w:hAnsi="Times New Roman"/>
                <w:spacing w:val="-4"/>
                <w:sz w:val="19"/>
                <w:szCs w:val="19"/>
              </w:rPr>
              <w:t>0.0% - 1.0% of loan amount, plus an application fee of $995 - $1,151</w:t>
            </w:r>
          </w:p>
        </w:tc>
      </w:tr>
      <w:tr w:rsidR="00E000F8" w:rsidRPr="00BC3792" w:rsidTr="00D007A7">
        <w:tc>
          <w:tcPr>
            <w:tcW w:w="3208" w:type="dxa"/>
            <w:vMerge/>
            <w:shd w:val="clear" w:color="auto" w:fill="auto"/>
            <w:vAlign w:val="center"/>
          </w:tcPr>
          <w:p w:rsidR="00E000F8" w:rsidRPr="00E000F8" w:rsidRDefault="00E000F8" w:rsidP="00E000F8">
            <w:pPr>
              <w:spacing w:after="0" w:line="240" w:lineRule="auto"/>
              <w:jc w:val="both"/>
              <w:rPr>
                <w:rFonts w:ascii="Times New Roman" w:hAnsi="Times New Roman"/>
                <w:sz w:val="19"/>
                <w:szCs w:val="19"/>
              </w:rPr>
            </w:pPr>
          </w:p>
        </w:tc>
        <w:tc>
          <w:tcPr>
            <w:tcW w:w="2234" w:type="dxa"/>
            <w:shd w:val="clear" w:color="auto" w:fill="auto"/>
          </w:tcPr>
          <w:p w:rsidR="00E000F8" w:rsidRPr="00E000F8" w:rsidRDefault="00E000F8" w:rsidP="00E000F8">
            <w:pPr>
              <w:spacing w:after="0" w:line="240" w:lineRule="auto"/>
              <w:rPr>
                <w:rFonts w:ascii="Times New Roman" w:hAnsi="Times New Roman"/>
                <w:sz w:val="19"/>
                <w:szCs w:val="19"/>
              </w:rPr>
            </w:pPr>
            <w:r w:rsidRPr="00E000F8">
              <w:rPr>
                <w:rFonts w:ascii="Times New Roman" w:hAnsi="Times New Roman"/>
                <w:sz w:val="19"/>
                <w:szCs w:val="19"/>
              </w:rPr>
              <w:t>Appraisal</w:t>
            </w:r>
          </w:p>
        </w:tc>
        <w:tc>
          <w:tcPr>
            <w:tcW w:w="5240" w:type="dxa"/>
            <w:shd w:val="clear" w:color="auto" w:fill="auto"/>
          </w:tcPr>
          <w:p w:rsidR="00E000F8" w:rsidRPr="00E000F8" w:rsidRDefault="00E000F8" w:rsidP="00E000F8">
            <w:pPr>
              <w:spacing w:after="0" w:line="240" w:lineRule="auto"/>
              <w:rPr>
                <w:rFonts w:ascii="Times New Roman" w:hAnsi="Times New Roman"/>
                <w:sz w:val="19"/>
                <w:szCs w:val="19"/>
              </w:rPr>
            </w:pPr>
            <w:r w:rsidRPr="00E000F8">
              <w:rPr>
                <w:rFonts w:ascii="Times New Roman" w:hAnsi="Times New Roman"/>
                <w:sz w:val="19"/>
                <w:szCs w:val="19"/>
              </w:rPr>
              <w:t>$400 - $900</w:t>
            </w:r>
          </w:p>
        </w:tc>
      </w:tr>
      <w:tr w:rsidR="00E000F8" w:rsidRPr="00BC3792" w:rsidTr="00D007A7">
        <w:tc>
          <w:tcPr>
            <w:tcW w:w="3208" w:type="dxa"/>
            <w:vMerge/>
            <w:shd w:val="clear" w:color="auto" w:fill="auto"/>
            <w:vAlign w:val="center"/>
          </w:tcPr>
          <w:p w:rsidR="00E000F8" w:rsidRPr="00E000F8" w:rsidRDefault="00E000F8" w:rsidP="00E000F8">
            <w:pPr>
              <w:spacing w:after="0" w:line="240" w:lineRule="auto"/>
              <w:jc w:val="both"/>
              <w:rPr>
                <w:rFonts w:ascii="Times New Roman" w:hAnsi="Times New Roman"/>
                <w:sz w:val="19"/>
                <w:szCs w:val="19"/>
              </w:rPr>
            </w:pPr>
          </w:p>
        </w:tc>
        <w:tc>
          <w:tcPr>
            <w:tcW w:w="2234" w:type="dxa"/>
            <w:shd w:val="clear" w:color="auto" w:fill="auto"/>
          </w:tcPr>
          <w:p w:rsidR="00E000F8" w:rsidRPr="00E000F8" w:rsidRDefault="00E000F8" w:rsidP="00E000F8">
            <w:pPr>
              <w:spacing w:after="0" w:line="240" w:lineRule="auto"/>
              <w:rPr>
                <w:rFonts w:ascii="Times New Roman" w:hAnsi="Times New Roman"/>
                <w:sz w:val="19"/>
                <w:szCs w:val="19"/>
              </w:rPr>
            </w:pPr>
            <w:r w:rsidRPr="00E000F8">
              <w:rPr>
                <w:rFonts w:ascii="Times New Roman" w:hAnsi="Times New Roman"/>
                <w:sz w:val="19"/>
                <w:szCs w:val="19"/>
              </w:rPr>
              <w:t>Third Party Fees</w:t>
            </w:r>
          </w:p>
        </w:tc>
        <w:tc>
          <w:tcPr>
            <w:tcW w:w="5240" w:type="dxa"/>
            <w:shd w:val="clear" w:color="auto" w:fill="auto"/>
          </w:tcPr>
          <w:p w:rsidR="00E000F8" w:rsidRPr="00E000F8" w:rsidRDefault="00E000F8" w:rsidP="00E000F8">
            <w:pPr>
              <w:spacing w:after="0" w:line="240" w:lineRule="auto"/>
              <w:rPr>
                <w:rFonts w:ascii="Times New Roman" w:hAnsi="Times New Roman"/>
                <w:sz w:val="19"/>
                <w:szCs w:val="19"/>
              </w:rPr>
            </w:pPr>
            <w:r w:rsidRPr="00E000F8">
              <w:rPr>
                <w:rFonts w:ascii="Times New Roman" w:hAnsi="Times New Roman"/>
                <w:sz w:val="19"/>
                <w:szCs w:val="19"/>
              </w:rPr>
              <w:t>$60 - $200 (credit report and flood cert fee)</w:t>
            </w:r>
          </w:p>
        </w:tc>
      </w:tr>
      <w:tr w:rsidR="00E000F8" w:rsidRPr="00BC3792" w:rsidTr="00E000F8">
        <w:trPr>
          <w:trHeight w:hRule="exact" w:val="72"/>
        </w:trPr>
        <w:tc>
          <w:tcPr>
            <w:tcW w:w="10682" w:type="dxa"/>
            <w:gridSpan w:val="3"/>
            <w:shd w:val="clear" w:color="auto" w:fill="D9D9D9" w:themeFill="background1" w:themeFillShade="D9"/>
          </w:tcPr>
          <w:p w:rsidR="00E000F8" w:rsidRDefault="00E000F8" w:rsidP="00E000F8">
            <w:pPr>
              <w:spacing w:after="0" w:line="240" w:lineRule="auto"/>
              <w:rPr>
                <w:rFonts w:ascii="Times New Roman" w:hAnsi="Times New Roman"/>
                <w:sz w:val="19"/>
                <w:szCs w:val="19"/>
              </w:rPr>
            </w:pPr>
          </w:p>
        </w:tc>
      </w:tr>
      <w:tr w:rsidR="00E000F8" w:rsidRPr="00BC3792" w:rsidTr="00BD5D26">
        <w:tc>
          <w:tcPr>
            <w:tcW w:w="3208" w:type="dxa"/>
            <w:shd w:val="clear" w:color="auto" w:fill="auto"/>
          </w:tcPr>
          <w:p w:rsidR="00E000F8" w:rsidRPr="004F5DAC" w:rsidRDefault="00E000F8" w:rsidP="00E000F8">
            <w:pPr>
              <w:spacing w:after="0" w:line="240" w:lineRule="auto"/>
              <w:jc w:val="both"/>
              <w:rPr>
                <w:rFonts w:ascii="Times New Roman" w:hAnsi="Times New Roman"/>
                <w:sz w:val="19"/>
                <w:szCs w:val="19"/>
              </w:rPr>
            </w:pPr>
            <w:r>
              <w:rPr>
                <w:rFonts w:ascii="Times New Roman" w:hAnsi="Times New Roman"/>
                <w:sz w:val="19"/>
                <w:szCs w:val="19"/>
              </w:rPr>
              <w:t>HomeServices Insurance, Inc.***</w:t>
            </w:r>
          </w:p>
        </w:tc>
        <w:tc>
          <w:tcPr>
            <w:tcW w:w="2234" w:type="dxa"/>
            <w:shd w:val="clear" w:color="auto" w:fill="auto"/>
          </w:tcPr>
          <w:p w:rsidR="00E000F8" w:rsidRPr="004F5DAC" w:rsidRDefault="00E000F8" w:rsidP="00E000F8">
            <w:pPr>
              <w:spacing w:after="0" w:line="240" w:lineRule="auto"/>
              <w:jc w:val="both"/>
              <w:rPr>
                <w:rFonts w:ascii="Times New Roman" w:hAnsi="Times New Roman"/>
                <w:sz w:val="19"/>
                <w:szCs w:val="19"/>
              </w:rPr>
            </w:pPr>
            <w:r w:rsidRPr="004F5DAC">
              <w:rPr>
                <w:rFonts w:ascii="Times New Roman" w:hAnsi="Times New Roman"/>
                <w:sz w:val="19"/>
                <w:szCs w:val="19"/>
              </w:rPr>
              <w:t>Homeowner’s Insurance</w:t>
            </w:r>
          </w:p>
        </w:tc>
        <w:tc>
          <w:tcPr>
            <w:tcW w:w="5240" w:type="dxa"/>
            <w:shd w:val="clear" w:color="auto" w:fill="auto"/>
          </w:tcPr>
          <w:p w:rsidR="00E000F8" w:rsidRPr="004F5DAC" w:rsidRDefault="00E000F8" w:rsidP="00E000F8">
            <w:pPr>
              <w:spacing w:after="0" w:line="240" w:lineRule="auto"/>
              <w:rPr>
                <w:rFonts w:ascii="Times New Roman" w:hAnsi="Times New Roman"/>
                <w:sz w:val="19"/>
                <w:szCs w:val="19"/>
              </w:rPr>
            </w:pPr>
            <w:r>
              <w:rPr>
                <w:rFonts w:ascii="Times New Roman" w:hAnsi="Times New Roman"/>
                <w:sz w:val="19"/>
                <w:szCs w:val="19"/>
              </w:rPr>
              <w:t xml:space="preserve">Annual premiums </w:t>
            </w:r>
            <w:r w:rsidRPr="004F5DAC">
              <w:rPr>
                <w:rFonts w:ascii="Times New Roman" w:hAnsi="Times New Roman"/>
                <w:sz w:val="19"/>
                <w:szCs w:val="19"/>
              </w:rPr>
              <w:t>depend on the product and associated risk assessments (</w:t>
            </w:r>
            <w:r w:rsidRPr="004F5DAC">
              <w:rPr>
                <w:rFonts w:ascii="Times New Roman" w:hAnsi="Times New Roman"/>
                <w:i/>
                <w:sz w:val="19"/>
                <w:szCs w:val="19"/>
              </w:rPr>
              <w:t>e.g.</w:t>
            </w:r>
            <w:r>
              <w:rPr>
                <w:rFonts w:ascii="Times New Roman" w:hAnsi="Times New Roman"/>
                <w:sz w:val="19"/>
                <w:szCs w:val="19"/>
              </w:rPr>
              <w:t xml:space="preserve">, age and location of home, </w:t>
            </w:r>
            <w:r w:rsidRPr="004F5DAC">
              <w:rPr>
                <w:rFonts w:ascii="Times New Roman" w:hAnsi="Times New Roman"/>
                <w:sz w:val="19"/>
                <w:szCs w:val="19"/>
              </w:rPr>
              <w:t>past claims of the insured, etc.)</w:t>
            </w:r>
          </w:p>
        </w:tc>
      </w:tr>
      <w:tr w:rsidR="00E000F8" w:rsidRPr="00BC3792" w:rsidTr="00E000F8">
        <w:trPr>
          <w:trHeight w:hRule="exact" w:val="72"/>
        </w:trPr>
        <w:tc>
          <w:tcPr>
            <w:tcW w:w="3208" w:type="dxa"/>
            <w:shd w:val="clear" w:color="auto" w:fill="D9D9D9" w:themeFill="background1" w:themeFillShade="D9"/>
          </w:tcPr>
          <w:p w:rsidR="00E000F8" w:rsidRPr="00C477D2" w:rsidRDefault="00E000F8" w:rsidP="00E000F8">
            <w:pPr>
              <w:jc w:val="both"/>
              <w:rPr>
                <w:rFonts w:ascii="Times New Roman" w:hAnsi="Times New Roman"/>
                <w:spacing w:val="-2"/>
                <w:sz w:val="19"/>
                <w:szCs w:val="19"/>
              </w:rPr>
            </w:pPr>
          </w:p>
        </w:tc>
        <w:tc>
          <w:tcPr>
            <w:tcW w:w="2234" w:type="dxa"/>
            <w:shd w:val="clear" w:color="auto" w:fill="D9D9D9" w:themeFill="background1" w:themeFillShade="D9"/>
          </w:tcPr>
          <w:p w:rsidR="00E000F8" w:rsidRDefault="00E000F8" w:rsidP="00E000F8">
            <w:pPr>
              <w:jc w:val="both"/>
              <w:rPr>
                <w:rFonts w:ascii="Times New Roman" w:hAnsi="Times New Roman"/>
                <w:sz w:val="19"/>
                <w:szCs w:val="19"/>
              </w:rPr>
            </w:pPr>
          </w:p>
        </w:tc>
        <w:tc>
          <w:tcPr>
            <w:tcW w:w="5240" w:type="dxa"/>
            <w:shd w:val="clear" w:color="auto" w:fill="D9D9D9" w:themeFill="background1" w:themeFillShade="D9"/>
          </w:tcPr>
          <w:p w:rsidR="00E000F8" w:rsidRDefault="00E000F8" w:rsidP="00E000F8">
            <w:pPr>
              <w:rPr>
                <w:rFonts w:ascii="Times New Roman" w:hAnsi="Times New Roman"/>
                <w:sz w:val="19"/>
                <w:szCs w:val="19"/>
              </w:rPr>
            </w:pPr>
          </w:p>
        </w:tc>
      </w:tr>
      <w:tr w:rsidR="00E000F8" w:rsidRPr="00BC3792" w:rsidTr="00BD5D26">
        <w:tc>
          <w:tcPr>
            <w:tcW w:w="3208" w:type="dxa"/>
            <w:vMerge w:val="restart"/>
            <w:shd w:val="clear" w:color="auto" w:fill="auto"/>
          </w:tcPr>
          <w:p w:rsidR="00E000F8" w:rsidRDefault="00E000F8" w:rsidP="00E000F8">
            <w:pPr>
              <w:jc w:val="both"/>
              <w:rPr>
                <w:rFonts w:ascii="Times New Roman" w:hAnsi="Times New Roman"/>
                <w:sz w:val="19"/>
                <w:szCs w:val="19"/>
              </w:rPr>
            </w:pPr>
            <w:r w:rsidRPr="00C477D2">
              <w:rPr>
                <w:rFonts w:ascii="Times New Roman" w:hAnsi="Times New Roman"/>
                <w:spacing w:val="-2"/>
                <w:sz w:val="19"/>
                <w:szCs w:val="19"/>
              </w:rPr>
              <w:t>Silverton Mortgage</w:t>
            </w:r>
          </w:p>
        </w:tc>
        <w:tc>
          <w:tcPr>
            <w:tcW w:w="2234" w:type="dxa"/>
            <w:shd w:val="clear" w:color="auto" w:fill="auto"/>
          </w:tcPr>
          <w:p w:rsidR="00E000F8" w:rsidRDefault="00E000F8" w:rsidP="00E000F8">
            <w:pPr>
              <w:spacing w:after="0" w:line="240" w:lineRule="auto"/>
              <w:rPr>
                <w:rFonts w:ascii="Times New Roman" w:hAnsi="Times New Roman"/>
                <w:sz w:val="19"/>
                <w:szCs w:val="19"/>
              </w:rPr>
            </w:pPr>
            <w:r>
              <w:rPr>
                <w:rFonts w:ascii="Times New Roman" w:hAnsi="Times New Roman"/>
                <w:sz w:val="19"/>
                <w:szCs w:val="19"/>
              </w:rPr>
              <w:t>Loan Origination Fee</w:t>
            </w:r>
          </w:p>
        </w:tc>
        <w:tc>
          <w:tcPr>
            <w:tcW w:w="5240" w:type="dxa"/>
            <w:shd w:val="clear" w:color="auto" w:fill="auto"/>
          </w:tcPr>
          <w:p w:rsidR="00E000F8" w:rsidRDefault="00E000F8" w:rsidP="00E000F8">
            <w:pPr>
              <w:spacing w:after="0" w:line="240" w:lineRule="auto"/>
              <w:rPr>
                <w:rFonts w:ascii="Times New Roman" w:hAnsi="Times New Roman"/>
                <w:sz w:val="19"/>
                <w:szCs w:val="19"/>
              </w:rPr>
            </w:pPr>
            <w:r>
              <w:rPr>
                <w:rFonts w:ascii="Times New Roman" w:hAnsi="Times New Roman"/>
                <w:sz w:val="19"/>
                <w:szCs w:val="19"/>
              </w:rPr>
              <w:t>0 – 2.75% of the loan amount (includes third party fees)</w:t>
            </w:r>
          </w:p>
        </w:tc>
      </w:tr>
      <w:tr w:rsidR="00E000F8" w:rsidRPr="00BC3792" w:rsidTr="00BD5D26">
        <w:tc>
          <w:tcPr>
            <w:tcW w:w="3208" w:type="dxa"/>
            <w:vMerge/>
            <w:shd w:val="clear" w:color="auto" w:fill="auto"/>
          </w:tcPr>
          <w:p w:rsidR="00E000F8" w:rsidRPr="00D22CFD" w:rsidRDefault="00E000F8" w:rsidP="00E000F8">
            <w:pPr>
              <w:jc w:val="both"/>
              <w:rPr>
                <w:rFonts w:ascii="Times New Roman" w:hAnsi="Times New Roman"/>
                <w:sz w:val="19"/>
                <w:szCs w:val="19"/>
              </w:rPr>
            </w:pPr>
          </w:p>
        </w:tc>
        <w:tc>
          <w:tcPr>
            <w:tcW w:w="2234" w:type="dxa"/>
            <w:shd w:val="clear" w:color="auto" w:fill="auto"/>
          </w:tcPr>
          <w:p w:rsidR="00E000F8" w:rsidRPr="00E000F8" w:rsidRDefault="00E000F8" w:rsidP="00E000F8">
            <w:pPr>
              <w:spacing w:after="0" w:line="240" w:lineRule="auto"/>
              <w:rPr>
                <w:rFonts w:ascii="Times New Roman" w:hAnsi="Times New Roman"/>
                <w:sz w:val="19"/>
                <w:szCs w:val="19"/>
              </w:rPr>
            </w:pPr>
            <w:r>
              <w:rPr>
                <w:rFonts w:ascii="Times New Roman" w:hAnsi="Times New Roman"/>
                <w:sz w:val="19"/>
                <w:szCs w:val="19"/>
              </w:rPr>
              <w:t>Appraisal</w:t>
            </w:r>
          </w:p>
        </w:tc>
        <w:tc>
          <w:tcPr>
            <w:tcW w:w="5240" w:type="dxa"/>
            <w:shd w:val="clear" w:color="auto" w:fill="auto"/>
          </w:tcPr>
          <w:p w:rsidR="00E000F8" w:rsidRPr="00E000F8" w:rsidRDefault="00E000F8" w:rsidP="00E000F8">
            <w:pPr>
              <w:spacing w:after="0" w:line="240" w:lineRule="auto"/>
              <w:rPr>
                <w:rFonts w:ascii="Times New Roman" w:hAnsi="Times New Roman"/>
                <w:sz w:val="19"/>
                <w:szCs w:val="19"/>
              </w:rPr>
            </w:pPr>
            <w:r>
              <w:rPr>
                <w:rFonts w:ascii="Times New Roman" w:hAnsi="Times New Roman"/>
                <w:sz w:val="19"/>
                <w:szCs w:val="19"/>
              </w:rPr>
              <w:t>$475 - $900</w:t>
            </w:r>
          </w:p>
        </w:tc>
      </w:tr>
    </w:tbl>
    <w:p w:rsidR="00EF4411" w:rsidRPr="004F2B21" w:rsidRDefault="00EF4411" w:rsidP="00EF4411">
      <w:pPr>
        <w:spacing w:before="120" w:after="120"/>
        <w:jc w:val="both"/>
        <w:rPr>
          <w:rFonts w:ascii="Times New Roman" w:hAnsi="Times New Roman"/>
          <w:sz w:val="19"/>
          <w:szCs w:val="19"/>
        </w:rPr>
      </w:pPr>
      <w:r w:rsidRPr="004F2B21">
        <w:rPr>
          <w:rFonts w:ascii="Times New Roman" w:hAnsi="Times New Roman"/>
          <w:sz w:val="19"/>
          <w:szCs w:val="19"/>
        </w:rPr>
        <w:t>ACKNOWLEDGEMENT:  I/we</w:t>
      </w:r>
      <w:r w:rsidR="007B4748">
        <w:rPr>
          <w:rFonts w:ascii="Times New Roman" w:hAnsi="Times New Roman"/>
          <w:sz w:val="19"/>
          <w:szCs w:val="19"/>
        </w:rPr>
        <w:t xml:space="preserve"> have read this disclosure form</w:t>
      </w:r>
      <w:r w:rsidRPr="004F2B21">
        <w:rPr>
          <w:rFonts w:ascii="Times New Roman" w:hAnsi="Times New Roman"/>
          <w:sz w:val="19"/>
          <w:szCs w:val="19"/>
        </w:rPr>
        <w:t xml:space="preserve"> and understand that the Affiliated Companies may refer me/us to purchase the above-described settlement service(s) from one another and that any such referrals may provide the referring company, its affiliates, and/or their employees with a financial or other benefit.</w:t>
      </w:r>
    </w:p>
    <w:p w:rsidR="00EF4411" w:rsidRPr="004F2B21" w:rsidRDefault="00EF4411" w:rsidP="00790098">
      <w:pPr>
        <w:spacing w:before="360" w:after="0"/>
        <w:jc w:val="both"/>
        <w:rPr>
          <w:rFonts w:ascii="Times New Roman" w:hAnsi="Times New Roman"/>
          <w:sz w:val="19"/>
          <w:szCs w:val="19"/>
        </w:rPr>
      </w:pPr>
      <w:r w:rsidRPr="004F2B21">
        <w:rPr>
          <w:rFonts w:ascii="Times New Roman" w:hAnsi="Times New Roman"/>
          <w:sz w:val="19"/>
          <w:szCs w:val="19"/>
        </w:rPr>
        <w:t>_______________________________________________</w:t>
      </w:r>
      <w:r w:rsidRPr="004F2B21">
        <w:rPr>
          <w:rFonts w:ascii="Times New Roman" w:hAnsi="Times New Roman"/>
          <w:sz w:val="19"/>
          <w:szCs w:val="19"/>
        </w:rPr>
        <w:tab/>
      </w:r>
      <w:r w:rsidRPr="004F2B21">
        <w:rPr>
          <w:rFonts w:ascii="Times New Roman" w:hAnsi="Times New Roman"/>
          <w:sz w:val="19"/>
          <w:szCs w:val="19"/>
        </w:rPr>
        <w:tab/>
        <w:t>_____________________________________________________</w:t>
      </w:r>
    </w:p>
    <w:p w:rsidR="00332751" w:rsidRDefault="00EF4411" w:rsidP="00BD5D26">
      <w:pPr>
        <w:tabs>
          <w:tab w:val="right" w:pos="4500"/>
          <w:tab w:val="left" w:pos="5760"/>
          <w:tab w:val="right" w:pos="10800"/>
        </w:tabs>
        <w:spacing w:after="360"/>
        <w:jc w:val="both"/>
        <w:rPr>
          <w:rFonts w:ascii="Times New Roman" w:hAnsi="Times New Roman"/>
          <w:sz w:val="19"/>
          <w:szCs w:val="19"/>
        </w:rPr>
      </w:pPr>
      <w:r w:rsidRPr="004F2B21">
        <w:rPr>
          <w:rFonts w:ascii="Times New Roman" w:hAnsi="Times New Roman"/>
          <w:sz w:val="19"/>
          <w:szCs w:val="19"/>
        </w:rPr>
        <w:t>Si</w:t>
      </w:r>
      <w:r>
        <w:rPr>
          <w:rFonts w:ascii="Times New Roman" w:hAnsi="Times New Roman"/>
          <w:sz w:val="19"/>
          <w:szCs w:val="19"/>
        </w:rPr>
        <w:t>gnature</w:t>
      </w:r>
      <w:r>
        <w:rPr>
          <w:rFonts w:ascii="Times New Roman" w:hAnsi="Times New Roman"/>
          <w:sz w:val="19"/>
          <w:szCs w:val="19"/>
        </w:rPr>
        <w:tab/>
        <w:t>(Date)</w:t>
      </w:r>
      <w:r>
        <w:rPr>
          <w:rFonts w:ascii="Times New Roman" w:hAnsi="Times New Roman"/>
          <w:sz w:val="19"/>
          <w:szCs w:val="19"/>
        </w:rPr>
        <w:tab/>
        <w:t>Signature</w:t>
      </w:r>
      <w:r>
        <w:rPr>
          <w:rFonts w:ascii="Times New Roman" w:hAnsi="Times New Roman"/>
          <w:sz w:val="19"/>
          <w:szCs w:val="19"/>
        </w:rPr>
        <w:tab/>
        <w:t>(Date)</w:t>
      </w:r>
    </w:p>
    <w:p w:rsidR="00CB7CA3" w:rsidRDefault="00CB7CA3" w:rsidP="00CB7CA3">
      <w:pPr>
        <w:tabs>
          <w:tab w:val="right" w:pos="4500"/>
          <w:tab w:val="left" w:pos="5760"/>
          <w:tab w:val="right" w:pos="10800"/>
        </w:tabs>
        <w:jc w:val="both"/>
        <w:rPr>
          <w:rFonts w:ascii="Times New Roman" w:hAnsi="Times New Roman"/>
          <w:sz w:val="16"/>
          <w:szCs w:val="16"/>
        </w:rPr>
      </w:pPr>
      <w:r w:rsidRPr="004F2B21">
        <w:rPr>
          <w:rFonts w:ascii="Times New Roman" w:hAnsi="Times New Roman"/>
          <w:sz w:val="16"/>
          <w:szCs w:val="16"/>
        </w:rPr>
        <w:t>*</w:t>
      </w:r>
      <w:r w:rsidRPr="00EE7B87">
        <w:rPr>
          <w:rFonts w:ascii="Times New Roman" w:hAnsi="Times New Roman"/>
          <w:sz w:val="16"/>
          <w:szCs w:val="16"/>
        </w:rPr>
        <w:t xml:space="preserve"> </w:t>
      </w:r>
      <w:r>
        <w:rPr>
          <w:rFonts w:ascii="Times New Roman" w:hAnsi="Times New Roman"/>
          <w:sz w:val="16"/>
          <w:szCs w:val="16"/>
        </w:rPr>
        <w:t xml:space="preserve">HomeServices Lending, LLC, also operates under </w:t>
      </w:r>
      <w:r w:rsidR="00BE038D">
        <w:rPr>
          <w:rFonts w:ascii="Times New Roman" w:hAnsi="Times New Roman"/>
          <w:sz w:val="16"/>
          <w:szCs w:val="16"/>
        </w:rPr>
        <w:t>the</w:t>
      </w:r>
      <w:r>
        <w:rPr>
          <w:rFonts w:ascii="Times New Roman" w:hAnsi="Times New Roman"/>
          <w:sz w:val="16"/>
          <w:szCs w:val="16"/>
        </w:rPr>
        <w:t xml:space="preserve"> trade name</w:t>
      </w:r>
      <w:r w:rsidR="00BE038D">
        <w:rPr>
          <w:rFonts w:ascii="Times New Roman" w:hAnsi="Times New Roman"/>
          <w:sz w:val="16"/>
          <w:szCs w:val="16"/>
        </w:rPr>
        <w:t xml:space="preserve"> Guarantee Home Loans</w:t>
      </w:r>
      <w:r>
        <w:rPr>
          <w:rFonts w:ascii="Times New Roman" w:hAnsi="Times New Roman"/>
          <w:sz w:val="16"/>
          <w:szCs w:val="16"/>
        </w:rPr>
        <w:t>, and in some cases</w:t>
      </w:r>
      <w:r w:rsidRPr="004F2B21">
        <w:rPr>
          <w:rFonts w:ascii="Times New Roman" w:hAnsi="Times New Roman"/>
          <w:sz w:val="16"/>
          <w:szCs w:val="16"/>
        </w:rPr>
        <w:t xml:space="preserve">, your </w:t>
      </w:r>
      <w:r>
        <w:rPr>
          <w:rFonts w:ascii="Times New Roman" w:hAnsi="Times New Roman"/>
          <w:sz w:val="16"/>
          <w:szCs w:val="16"/>
        </w:rPr>
        <w:t xml:space="preserve">mortgage may be issued under </w:t>
      </w:r>
      <w:r w:rsidR="00BE038D">
        <w:rPr>
          <w:rFonts w:ascii="Times New Roman" w:hAnsi="Times New Roman"/>
          <w:sz w:val="16"/>
          <w:szCs w:val="16"/>
        </w:rPr>
        <w:t>that name</w:t>
      </w:r>
      <w:r>
        <w:rPr>
          <w:rFonts w:ascii="Times New Roman" w:hAnsi="Times New Roman"/>
          <w:sz w:val="16"/>
          <w:szCs w:val="16"/>
        </w:rPr>
        <w:t>.</w:t>
      </w:r>
    </w:p>
    <w:p w:rsidR="00CB7CA3" w:rsidRDefault="00CB7CA3" w:rsidP="00CB7CA3">
      <w:pPr>
        <w:tabs>
          <w:tab w:val="right" w:pos="4500"/>
          <w:tab w:val="left" w:pos="5760"/>
          <w:tab w:val="right" w:pos="10800"/>
        </w:tabs>
        <w:jc w:val="both"/>
        <w:rPr>
          <w:rFonts w:ascii="Times New Roman" w:hAnsi="Times New Roman"/>
          <w:sz w:val="16"/>
          <w:szCs w:val="16"/>
        </w:rPr>
      </w:pPr>
      <w:r>
        <w:rPr>
          <w:rFonts w:ascii="Times New Roman" w:hAnsi="Times New Roman"/>
          <w:sz w:val="16"/>
          <w:szCs w:val="16"/>
        </w:rPr>
        <w:t>*</w:t>
      </w:r>
      <w:r w:rsidRPr="004F2B21">
        <w:rPr>
          <w:rFonts w:ascii="Times New Roman" w:hAnsi="Times New Roman"/>
          <w:sz w:val="16"/>
          <w:szCs w:val="16"/>
        </w:rPr>
        <w:t>*</w:t>
      </w:r>
      <w:r w:rsidRPr="00EE7B87">
        <w:rPr>
          <w:rFonts w:ascii="Times New Roman" w:hAnsi="Times New Roman"/>
          <w:sz w:val="16"/>
          <w:szCs w:val="16"/>
        </w:rPr>
        <w:t xml:space="preserve"> </w:t>
      </w:r>
      <w:r>
        <w:rPr>
          <w:rFonts w:ascii="Times New Roman" w:hAnsi="Times New Roman"/>
          <w:sz w:val="16"/>
          <w:szCs w:val="16"/>
        </w:rPr>
        <w:t>Prosperity Home Mortgage, LLC, also operates under several trade names, and in some cases</w:t>
      </w:r>
      <w:r w:rsidRPr="004F2B21">
        <w:rPr>
          <w:rFonts w:ascii="Times New Roman" w:hAnsi="Times New Roman"/>
          <w:sz w:val="16"/>
          <w:szCs w:val="16"/>
        </w:rPr>
        <w:t xml:space="preserve">, your </w:t>
      </w:r>
      <w:r>
        <w:rPr>
          <w:rFonts w:ascii="Times New Roman" w:hAnsi="Times New Roman"/>
          <w:sz w:val="16"/>
          <w:szCs w:val="16"/>
        </w:rPr>
        <w:t xml:space="preserve">mortgage may be issued under one of those names.  They are: </w:t>
      </w:r>
      <w:r w:rsidR="00BE038D">
        <w:rPr>
          <w:rFonts w:ascii="Times New Roman" w:hAnsi="Times New Roman"/>
          <w:sz w:val="16"/>
          <w:szCs w:val="16"/>
        </w:rPr>
        <w:t xml:space="preserve">DFW Texas Mortgage, </w:t>
      </w:r>
      <w:r>
        <w:rPr>
          <w:rFonts w:ascii="Times New Roman" w:hAnsi="Times New Roman"/>
          <w:sz w:val="16"/>
          <w:szCs w:val="16"/>
        </w:rPr>
        <w:t>Edina Realty Mortgage</w:t>
      </w:r>
      <w:r w:rsidR="00BE038D">
        <w:rPr>
          <w:rFonts w:ascii="Times New Roman" w:hAnsi="Times New Roman"/>
          <w:sz w:val="16"/>
          <w:szCs w:val="16"/>
        </w:rPr>
        <w:t xml:space="preserve">, </w:t>
      </w:r>
      <w:r>
        <w:rPr>
          <w:rFonts w:ascii="Times New Roman" w:hAnsi="Times New Roman"/>
          <w:sz w:val="16"/>
          <w:szCs w:val="16"/>
        </w:rPr>
        <w:t>FM Lending Services</w:t>
      </w:r>
      <w:r w:rsidR="00BE038D">
        <w:rPr>
          <w:rFonts w:ascii="Times New Roman" w:hAnsi="Times New Roman"/>
          <w:sz w:val="16"/>
          <w:szCs w:val="16"/>
        </w:rPr>
        <w:t>, Home Team Mortgage, Long Mortgage Company and The Lending Partners</w:t>
      </w:r>
      <w:r>
        <w:rPr>
          <w:rFonts w:ascii="Times New Roman" w:hAnsi="Times New Roman"/>
          <w:sz w:val="16"/>
          <w:szCs w:val="16"/>
        </w:rPr>
        <w:t>.</w:t>
      </w:r>
    </w:p>
    <w:p w:rsidR="00CB7CA3" w:rsidRDefault="00CB7CA3" w:rsidP="00CB7CA3">
      <w:pPr>
        <w:tabs>
          <w:tab w:val="right" w:pos="4500"/>
          <w:tab w:val="left" w:pos="5760"/>
          <w:tab w:val="right" w:pos="10800"/>
        </w:tabs>
        <w:jc w:val="both"/>
        <w:rPr>
          <w:rFonts w:ascii="Times New Roman" w:hAnsi="Times New Roman"/>
          <w:sz w:val="16"/>
          <w:szCs w:val="16"/>
        </w:rPr>
      </w:pPr>
      <w:bookmarkStart w:id="1" w:name="_Hlk7170821"/>
      <w:r>
        <w:rPr>
          <w:rFonts w:ascii="Times New Roman" w:hAnsi="Times New Roman"/>
          <w:sz w:val="16"/>
          <w:szCs w:val="16"/>
        </w:rPr>
        <w:t>**</w:t>
      </w:r>
      <w:r w:rsidRPr="004F2B21">
        <w:rPr>
          <w:rFonts w:ascii="Times New Roman" w:hAnsi="Times New Roman"/>
          <w:sz w:val="16"/>
          <w:szCs w:val="16"/>
        </w:rPr>
        <w:t>*</w:t>
      </w:r>
      <w:r w:rsidRPr="00EE7B87">
        <w:rPr>
          <w:rFonts w:ascii="Times New Roman" w:hAnsi="Times New Roman"/>
          <w:sz w:val="16"/>
          <w:szCs w:val="16"/>
        </w:rPr>
        <w:t xml:space="preserve"> </w:t>
      </w:r>
      <w:r w:rsidRPr="004F2B21">
        <w:rPr>
          <w:rFonts w:ascii="Times New Roman" w:hAnsi="Times New Roman"/>
          <w:sz w:val="16"/>
          <w:szCs w:val="16"/>
        </w:rPr>
        <w:t xml:space="preserve">In rare cases, your insurance policy may instead be issued by </w:t>
      </w:r>
      <w:r>
        <w:rPr>
          <w:rFonts w:ascii="Times New Roman" w:hAnsi="Times New Roman"/>
          <w:sz w:val="16"/>
          <w:szCs w:val="16"/>
        </w:rPr>
        <w:t xml:space="preserve">Trident Insurance Agency Company LP or </w:t>
      </w:r>
      <w:r w:rsidRPr="005B7C47">
        <w:rPr>
          <w:rFonts w:ascii="Times New Roman" w:hAnsi="Times New Roman"/>
          <w:sz w:val="16"/>
          <w:szCs w:val="16"/>
        </w:rPr>
        <w:t>Long &amp; Foster Insurance Agency, Inc.</w:t>
      </w:r>
      <w:r>
        <w:rPr>
          <w:rFonts w:ascii="Times New Roman" w:hAnsi="Times New Roman"/>
          <w:sz w:val="16"/>
          <w:szCs w:val="16"/>
        </w:rPr>
        <w:t xml:space="preserve">, </w:t>
      </w:r>
      <w:r w:rsidRPr="004F2B21">
        <w:rPr>
          <w:rFonts w:ascii="Times New Roman" w:hAnsi="Times New Roman"/>
          <w:sz w:val="16"/>
          <w:szCs w:val="16"/>
        </w:rPr>
        <w:t>affiliate</w:t>
      </w:r>
      <w:r>
        <w:rPr>
          <w:rFonts w:ascii="Times New Roman" w:hAnsi="Times New Roman"/>
          <w:sz w:val="16"/>
          <w:szCs w:val="16"/>
        </w:rPr>
        <w:t>s of HSI,</w:t>
      </w:r>
      <w:r w:rsidRPr="004F2B21">
        <w:rPr>
          <w:rFonts w:ascii="Times New Roman" w:hAnsi="Times New Roman"/>
          <w:sz w:val="16"/>
          <w:szCs w:val="16"/>
        </w:rPr>
        <w:t xml:space="preserve"> or under </w:t>
      </w:r>
      <w:r>
        <w:rPr>
          <w:rFonts w:ascii="Times New Roman" w:hAnsi="Times New Roman"/>
          <w:sz w:val="16"/>
          <w:szCs w:val="16"/>
        </w:rPr>
        <w:t xml:space="preserve">another </w:t>
      </w:r>
      <w:r w:rsidRPr="004F2B21">
        <w:rPr>
          <w:rFonts w:ascii="Times New Roman" w:hAnsi="Times New Roman"/>
          <w:sz w:val="16"/>
          <w:szCs w:val="16"/>
        </w:rPr>
        <w:t xml:space="preserve">of its trade names.  HSI’s trade names include: </w:t>
      </w:r>
      <w:r w:rsidRPr="004F7FBF">
        <w:rPr>
          <w:rFonts w:ascii="Times New Roman" w:hAnsi="Times New Roman"/>
          <w:sz w:val="16"/>
          <w:szCs w:val="16"/>
        </w:rPr>
        <w:t>Edina Realty Insurance</w:t>
      </w:r>
      <w:r>
        <w:rPr>
          <w:rFonts w:ascii="Times New Roman" w:hAnsi="Times New Roman"/>
          <w:sz w:val="16"/>
          <w:szCs w:val="16"/>
        </w:rPr>
        <w:t xml:space="preserve"> Agency</w:t>
      </w:r>
      <w:r w:rsidRPr="004F7FBF">
        <w:rPr>
          <w:rFonts w:ascii="Times New Roman" w:hAnsi="Times New Roman"/>
          <w:sz w:val="16"/>
          <w:szCs w:val="16"/>
        </w:rPr>
        <w:t xml:space="preserve">, </w:t>
      </w:r>
      <w:r>
        <w:rPr>
          <w:rFonts w:ascii="Times New Roman" w:hAnsi="Times New Roman"/>
          <w:sz w:val="16"/>
          <w:szCs w:val="16"/>
        </w:rPr>
        <w:t xml:space="preserve">Home Team Insurance, </w:t>
      </w:r>
      <w:r w:rsidRPr="004F7FBF">
        <w:rPr>
          <w:rFonts w:ascii="Times New Roman" w:hAnsi="Times New Roman"/>
          <w:sz w:val="16"/>
          <w:szCs w:val="16"/>
        </w:rPr>
        <w:t>HomeServices Insurance Agency, InsuranceSouth, Long Insurance Group, PCG Agencies, PCG Insurance Agency</w:t>
      </w:r>
      <w:r>
        <w:rPr>
          <w:rFonts w:ascii="Times New Roman" w:hAnsi="Times New Roman"/>
          <w:sz w:val="16"/>
          <w:szCs w:val="16"/>
        </w:rPr>
        <w:t>, ReeceNichols Insurance and Thoroughbred Insurance Agency.</w:t>
      </w:r>
      <w:bookmarkEnd w:id="1"/>
    </w:p>
    <w:sectPr w:rsidR="00CB7CA3" w:rsidSect="00EF4411">
      <w:footerReference w:type="default" r:id="rId14"/>
      <w:pgSz w:w="12240" w:h="15840" w:code="1"/>
      <w:pgMar w:top="720" w:right="720" w:bottom="576" w:left="720" w:header="18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91" w:rsidRDefault="00423291" w:rsidP="00456D37">
      <w:pPr>
        <w:spacing w:after="0" w:line="240" w:lineRule="auto"/>
      </w:pPr>
      <w:r>
        <w:separator/>
      </w:r>
    </w:p>
  </w:endnote>
  <w:endnote w:type="continuationSeparator" w:id="0">
    <w:p w:rsidR="00423291" w:rsidRDefault="00423291" w:rsidP="0045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8D" w:rsidRDefault="00BE0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8C" w:rsidRPr="0042376D" w:rsidRDefault="00BE038D" w:rsidP="00EF4411">
    <w:pPr>
      <w:pStyle w:val="Footer"/>
      <w:tabs>
        <w:tab w:val="clear" w:pos="4680"/>
        <w:tab w:val="clear" w:pos="9360"/>
        <w:tab w:val="right" w:pos="10800"/>
      </w:tabs>
      <w:rPr>
        <w:rFonts w:ascii="Times New Roman" w:hAnsi="Times New Roman"/>
        <w:sz w:val="18"/>
        <w:szCs w:val="18"/>
      </w:rPr>
    </w:pPr>
    <w:r w:rsidRPr="00BE038D">
      <w:rPr>
        <w:rFonts w:ascii="Arial" w:hAnsi="Arial" w:cs="Arial"/>
        <w:noProof/>
        <w:vanish/>
        <w:sz w:val="16"/>
        <w:szCs w:val="18"/>
      </w:rPr>
      <w:t>{</w:t>
    </w:r>
    <w:r w:rsidRPr="00BE038D">
      <w:rPr>
        <w:rFonts w:ascii="Arial" w:hAnsi="Arial" w:cs="Arial"/>
        <w:noProof/>
        <w:sz w:val="16"/>
        <w:szCs w:val="18"/>
      </w:rPr>
      <w:t>HSOA-00012591.14</w:t>
    </w:r>
    <w:r w:rsidRPr="00BE038D">
      <w:rPr>
        <w:rFonts w:ascii="Arial" w:hAnsi="Arial" w:cs="Arial"/>
        <w:noProof/>
        <w:vanish/>
        <w:sz w:val="16"/>
        <w:szCs w:val="18"/>
      </w:rPr>
      <w:t>}</w:t>
    </w:r>
    <w:r w:rsidR="0042376D">
      <w:rPr>
        <w:rFonts w:ascii="Times New Roman" w:hAnsi="Times New Roman"/>
        <w:sz w:val="18"/>
        <w:szCs w:val="18"/>
      </w:rPr>
      <w:tab/>
    </w:r>
    <w:r w:rsidR="00766379">
      <w:rPr>
        <w:rFonts w:ascii="Times New Roman" w:hAnsi="Times New Roman"/>
        <w:sz w:val="18"/>
        <w:szCs w:val="18"/>
      </w:rPr>
      <w:t>Affiliate</w:t>
    </w:r>
    <w:r w:rsidR="00D1424E">
      <w:rPr>
        <w:rFonts w:ascii="Times New Roman" w:hAnsi="Times New Roman"/>
        <w:sz w:val="18"/>
        <w:szCs w:val="18"/>
      </w:rPr>
      <w:t>d</w:t>
    </w:r>
    <w:r w:rsidR="00766379">
      <w:rPr>
        <w:rFonts w:ascii="Times New Roman" w:hAnsi="Times New Roman"/>
        <w:sz w:val="18"/>
        <w:szCs w:val="18"/>
      </w:rPr>
      <w:t xml:space="preserve"> Business Arrangement Disclosure </w:t>
    </w:r>
    <w:r w:rsidR="00D1424E">
      <w:rPr>
        <w:rFonts w:ascii="Times New Roman" w:hAnsi="Times New Roman"/>
        <w:sz w:val="18"/>
        <w:szCs w:val="18"/>
      </w:rPr>
      <w:t xml:space="preserve">Statement </w:t>
    </w:r>
    <w:r w:rsidR="00766379">
      <w:rPr>
        <w:rFonts w:ascii="Times New Roman" w:hAnsi="Times New Roman"/>
        <w:sz w:val="18"/>
        <w:szCs w:val="18"/>
      </w:rPr>
      <w:t xml:space="preserve">(Page 1 of 2) </w:t>
    </w:r>
    <w:r w:rsidR="0017548C" w:rsidRPr="0042376D">
      <w:rPr>
        <w:rFonts w:ascii="Times New Roman" w:hAnsi="Times New Roman"/>
        <w:sz w:val="18"/>
        <w:szCs w:val="18"/>
      </w:rPr>
      <w:t xml:space="preserve">Rev </w:t>
    </w:r>
    <w:r>
      <w:rPr>
        <w:rFonts w:ascii="Times New Roman" w:hAnsi="Times New Roman"/>
        <w:sz w:val="18"/>
        <w:szCs w:val="18"/>
      </w:rPr>
      <w:t>8</w:t>
    </w:r>
    <w:r w:rsidR="0017548C" w:rsidRPr="00F314B0">
      <w:rPr>
        <w:rFonts w:ascii="Times New Roman" w:hAnsi="Times New Roman"/>
        <w:sz w:val="18"/>
        <w:szCs w:val="18"/>
      </w:rPr>
      <w:t>/</w:t>
    </w:r>
    <w:r>
      <w:rPr>
        <w:rFonts w:ascii="Times New Roman" w:hAnsi="Times New Roman"/>
        <w:sz w:val="18"/>
        <w:szCs w:val="18"/>
      </w:rPr>
      <w:t>19</w:t>
    </w:r>
    <w:r w:rsidR="00A05867" w:rsidRPr="00F314B0">
      <w:rPr>
        <w:rFonts w:ascii="Times New Roman" w:hAnsi="Times New Roman"/>
        <w:sz w:val="18"/>
        <w:szCs w:val="18"/>
      </w:rPr>
      <w:t>/</w:t>
    </w:r>
    <w:r w:rsidR="0017548C" w:rsidRPr="00F314B0">
      <w:rPr>
        <w:rFonts w:ascii="Times New Roman" w:hAnsi="Times New Roman"/>
        <w:sz w:val="18"/>
        <w:szCs w:val="18"/>
      </w:rPr>
      <w:t>1</w:t>
    </w:r>
    <w:r w:rsidR="007B4748">
      <w:rPr>
        <w:rFonts w:ascii="Times New Roman" w:hAnsi="Times New Roman"/>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8D" w:rsidRDefault="00BE0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379" w:rsidRPr="0042376D" w:rsidRDefault="00BE038D" w:rsidP="00EF4411">
    <w:pPr>
      <w:pStyle w:val="Footer"/>
      <w:tabs>
        <w:tab w:val="clear" w:pos="4680"/>
        <w:tab w:val="clear" w:pos="9360"/>
        <w:tab w:val="right" w:pos="10800"/>
      </w:tabs>
      <w:rPr>
        <w:rFonts w:ascii="Times New Roman" w:hAnsi="Times New Roman"/>
        <w:sz w:val="18"/>
        <w:szCs w:val="18"/>
      </w:rPr>
    </w:pPr>
    <w:r w:rsidRPr="00BE038D">
      <w:rPr>
        <w:rFonts w:ascii="Arial" w:hAnsi="Arial" w:cs="Arial"/>
        <w:noProof/>
        <w:vanish/>
        <w:sz w:val="16"/>
        <w:szCs w:val="18"/>
      </w:rPr>
      <w:t>{</w:t>
    </w:r>
    <w:r w:rsidRPr="00BE038D">
      <w:rPr>
        <w:rFonts w:ascii="Arial" w:hAnsi="Arial" w:cs="Arial"/>
        <w:noProof/>
        <w:sz w:val="16"/>
        <w:szCs w:val="18"/>
      </w:rPr>
      <w:t>HSOA-00012591.14</w:t>
    </w:r>
    <w:r w:rsidRPr="00BE038D">
      <w:rPr>
        <w:rFonts w:ascii="Arial" w:hAnsi="Arial" w:cs="Arial"/>
        <w:noProof/>
        <w:vanish/>
        <w:sz w:val="16"/>
        <w:szCs w:val="18"/>
      </w:rPr>
      <w:t>}</w:t>
    </w:r>
    <w:r w:rsidR="00766379">
      <w:rPr>
        <w:rFonts w:ascii="Times New Roman" w:hAnsi="Times New Roman"/>
        <w:sz w:val="18"/>
        <w:szCs w:val="18"/>
      </w:rPr>
      <w:tab/>
      <w:t>Affiliate</w:t>
    </w:r>
    <w:r w:rsidR="00D1424E">
      <w:rPr>
        <w:rFonts w:ascii="Times New Roman" w:hAnsi="Times New Roman"/>
        <w:sz w:val="18"/>
        <w:szCs w:val="18"/>
      </w:rPr>
      <w:t>d</w:t>
    </w:r>
    <w:r w:rsidR="00766379">
      <w:rPr>
        <w:rFonts w:ascii="Times New Roman" w:hAnsi="Times New Roman"/>
        <w:sz w:val="18"/>
        <w:szCs w:val="18"/>
      </w:rPr>
      <w:t xml:space="preserve"> Business Arrangement Disclosure </w:t>
    </w:r>
    <w:r w:rsidR="00D1424E">
      <w:rPr>
        <w:rFonts w:ascii="Times New Roman" w:hAnsi="Times New Roman"/>
        <w:sz w:val="18"/>
        <w:szCs w:val="18"/>
      </w:rPr>
      <w:t xml:space="preserve">Statement </w:t>
    </w:r>
    <w:r w:rsidR="00766379">
      <w:rPr>
        <w:rFonts w:ascii="Times New Roman" w:hAnsi="Times New Roman"/>
        <w:sz w:val="18"/>
        <w:szCs w:val="18"/>
      </w:rPr>
      <w:t xml:space="preserve">(Page 2 of 2) </w:t>
    </w:r>
    <w:r w:rsidR="00766379" w:rsidRPr="0042376D">
      <w:rPr>
        <w:rFonts w:ascii="Times New Roman" w:hAnsi="Times New Roman"/>
        <w:sz w:val="18"/>
        <w:szCs w:val="18"/>
      </w:rPr>
      <w:t xml:space="preserve">Rev </w:t>
    </w:r>
    <w:r>
      <w:rPr>
        <w:rFonts w:ascii="Times New Roman" w:hAnsi="Times New Roman"/>
        <w:sz w:val="18"/>
        <w:szCs w:val="18"/>
      </w:rPr>
      <w:t>8</w:t>
    </w:r>
    <w:r w:rsidR="00766379" w:rsidRPr="00F314B0">
      <w:rPr>
        <w:rFonts w:ascii="Times New Roman" w:hAnsi="Times New Roman"/>
        <w:sz w:val="18"/>
        <w:szCs w:val="18"/>
      </w:rPr>
      <w:t>/</w:t>
    </w:r>
    <w:r>
      <w:rPr>
        <w:rFonts w:ascii="Times New Roman" w:hAnsi="Times New Roman"/>
        <w:sz w:val="18"/>
        <w:szCs w:val="18"/>
      </w:rPr>
      <w:t>19</w:t>
    </w:r>
    <w:r w:rsidR="00766379" w:rsidRPr="00F314B0">
      <w:rPr>
        <w:rFonts w:ascii="Times New Roman" w:hAnsi="Times New Roman"/>
        <w:sz w:val="18"/>
        <w:szCs w:val="18"/>
      </w:rPr>
      <w:t>/1</w:t>
    </w:r>
    <w:r w:rsidR="007B4748">
      <w:rPr>
        <w:rFonts w:ascii="Times New Roman" w:hAnsi="Times New Roman"/>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91" w:rsidRDefault="00423291" w:rsidP="00456D37">
      <w:pPr>
        <w:spacing w:after="0" w:line="240" w:lineRule="auto"/>
        <w:rPr>
          <w:noProof/>
        </w:rPr>
      </w:pPr>
      <w:r>
        <w:rPr>
          <w:noProof/>
        </w:rPr>
        <w:separator/>
      </w:r>
    </w:p>
  </w:footnote>
  <w:footnote w:type="continuationSeparator" w:id="0">
    <w:p w:rsidR="00423291" w:rsidRDefault="00423291" w:rsidP="00456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8D" w:rsidRDefault="00BE0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8D" w:rsidRDefault="00BE0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8D" w:rsidRDefault="00BE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8AE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D04A7"/>
    <w:multiLevelType w:val="hybridMultilevel"/>
    <w:tmpl w:val="54F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22"/>
    <w:rsid w:val="00022DD5"/>
    <w:rsid w:val="00036005"/>
    <w:rsid w:val="00037835"/>
    <w:rsid w:val="00060A6A"/>
    <w:rsid w:val="00062C80"/>
    <w:rsid w:val="00063573"/>
    <w:rsid w:val="000647E0"/>
    <w:rsid w:val="00090C2A"/>
    <w:rsid w:val="000A0E75"/>
    <w:rsid w:val="000A11A1"/>
    <w:rsid w:val="000A1AEB"/>
    <w:rsid w:val="000A4F9E"/>
    <w:rsid w:val="000B58B2"/>
    <w:rsid w:val="000C0461"/>
    <w:rsid w:val="000E136B"/>
    <w:rsid w:val="000F6E01"/>
    <w:rsid w:val="001044ED"/>
    <w:rsid w:val="00115B1A"/>
    <w:rsid w:val="00123975"/>
    <w:rsid w:val="00137C7D"/>
    <w:rsid w:val="001454EE"/>
    <w:rsid w:val="00147EA3"/>
    <w:rsid w:val="001655BA"/>
    <w:rsid w:val="001735C2"/>
    <w:rsid w:val="0017548C"/>
    <w:rsid w:val="00176D67"/>
    <w:rsid w:val="0019581A"/>
    <w:rsid w:val="001B0DA2"/>
    <w:rsid w:val="001B2F1C"/>
    <w:rsid w:val="001B5659"/>
    <w:rsid w:val="001D2AD9"/>
    <w:rsid w:val="001D40E4"/>
    <w:rsid w:val="001E3FEC"/>
    <w:rsid w:val="001E5E19"/>
    <w:rsid w:val="001F0622"/>
    <w:rsid w:val="001F0A2F"/>
    <w:rsid w:val="001F4566"/>
    <w:rsid w:val="001F58F2"/>
    <w:rsid w:val="0020316E"/>
    <w:rsid w:val="002171B1"/>
    <w:rsid w:val="00225BD3"/>
    <w:rsid w:val="00232573"/>
    <w:rsid w:val="00233E14"/>
    <w:rsid w:val="00256666"/>
    <w:rsid w:val="00262338"/>
    <w:rsid w:val="00262F22"/>
    <w:rsid w:val="00270FE1"/>
    <w:rsid w:val="00275653"/>
    <w:rsid w:val="00283AA4"/>
    <w:rsid w:val="00292FCF"/>
    <w:rsid w:val="00297762"/>
    <w:rsid w:val="002A3850"/>
    <w:rsid w:val="002B0601"/>
    <w:rsid w:val="002C1A86"/>
    <w:rsid w:val="002D20D7"/>
    <w:rsid w:val="002E03F9"/>
    <w:rsid w:val="002E10BD"/>
    <w:rsid w:val="002E33F8"/>
    <w:rsid w:val="002E3717"/>
    <w:rsid w:val="002E4159"/>
    <w:rsid w:val="002E4F5D"/>
    <w:rsid w:val="002F0108"/>
    <w:rsid w:val="002F1921"/>
    <w:rsid w:val="002F25F1"/>
    <w:rsid w:val="002F6675"/>
    <w:rsid w:val="00306F82"/>
    <w:rsid w:val="00324D15"/>
    <w:rsid w:val="00332751"/>
    <w:rsid w:val="00336D1E"/>
    <w:rsid w:val="003473B7"/>
    <w:rsid w:val="00373B49"/>
    <w:rsid w:val="0037654E"/>
    <w:rsid w:val="003768DC"/>
    <w:rsid w:val="003866A0"/>
    <w:rsid w:val="003A07DE"/>
    <w:rsid w:val="003A43C9"/>
    <w:rsid w:val="003A6C05"/>
    <w:rsid w:val="003B32FB"/>
    <w:rsid w:val="003B5C7A"/>
    <w:rsid w:val="003C4A26"/>
    <w:rsid w:val="003E1E53"/>
    <w:rsid w:val="003E729A"/>
    <w:rsid w:val="003F5DF9"/>
    <w:rsid w:val="003F6AFF"/>
    <w:rsid w:val="004057A8"/>
    <w:rsid w:val="004134EF"/>
    <w:rsid w:val="004175F2"/>
    <w:rsid w:val="00423291"/>
    <w:rsid w:val="0042376D"/>
    <w:rsid w:val="00456D37"/>
    <w:rsid w:val="00457220"/>
    <w:rsid w:val="004974B6"/>
    <w:rsid w:val="004A492A"/>
    <w:rsid w:val="004B0B54"/>
    <w:rsid w:val="004D1C04"/>
    <w:rsid w:val="004F1CD7"/>
    <w:rsid w:val="005141A8"/>
    <w:rsid w:val="005214DC"/>
    <w:rsid w:val="00522232"/>
    <w:rsid w:val="005302FD"/>
    <w:rsid w:val="005320AD"/>
    <w:rsid w:val="00537B24"/>
    <w:rsid w:val="00542F06"/>
    <w:rsid w:val="00544042"/>
    <w:rsid w:val="00567244"/>
    <w:rsid w:val="00580148"/>
    <w:rsid w:val="00583784"/>
    <w:rsid w:val="005875B2"/>
    <w:rsid w:val="00587AA3"/>
    <w:rsid w:val="00591D85"/>
    <w:rsid w:val="005A77E2"/>
    <w:rsid w:val="005B0A45"/>
    <w:rsid w:val="005C2CEB"/>
    <w:rsid w:val="005C412E"/>
    <w:rsid w:val="005C45B7"/>
    <w:rsid w:val="005C4FC4"/>
    <w:rsid w:val="005C53A9"/>
    <w:rsid w:val="005E0C9E"/>
    <w:rsid w:val="005E79AC"/>
    <w:rsid w:val="005F3719"/>
    <w:rsid w:val="00615CB9"/>
    <w:rsid w:val="0062184B"/>
    <w:rsid w:val="00635EF1"/>
    <w:rsid w:val="00647D71"/>
    <w:rsid w:val="00650C0A"/>
    <w:rsid w:val="00674316"/>
    <w:rsid w:val="00674FF3"/>
    <w:rsid w:val="006753D8"/>
    <w:rsid w:val="00685734"/>
    <w:rsid w:val="006917BE"/>
    <w:rsid w:val="006B041B"/>
    <w:rsid w:val="006C2726"/>
    <w:rsid w:val="006F3633"/>
    <w:rsid w:val="00700ECF"/>
    <w:rsid w:val="00702FEA"/>
    <w:rsid w:val="00713183"/>
    <w:rsid w:val="00714197"/>
    <w:rsid w:val="00720B9F"/>
    <w:rsid w:val="00733259"/>
    <w:rsid w:val="007334AE"/>
    <w:rsid w:val="007612E4"/>
    <w:rsid w:val="00766379"/>
    <w:rsid w:val="00766B6C"/>
    <w:rsid w:val="00767969"/>
    <w:rsid w:val="007716FF"/>
    <w:rsid w:val="00782909"/>
    <w:rsid w:val="0078791F"/>
    <w:rsid w:val="00790098"/>
    <w:rsid w:val="007901AB"/>
    <w:rsid w:val="007B0D3B"/>
    <w:rsid w:val="007B391D"/>
    <w:rsid w:val="007B4748"/>
    <w:rsid w:val="007B75DC"/>
    <w:rsid w:val="007C422E"/>
    <w:rsid w:val="007D0853"/>
    <w:rsid w:val="007F7737"/>
    <w:rsid w:val="008010C3"/>
    <w:rsid w:val="00812F43"/>
    <w:rsid w:val="008136B9"/>
    <w:rsid w:val="00826AA6"/>
    <w:rsid w:val="00831BB8"/>
    <w:rsid w:val="0083498B"/>
    <w:rsid w:val="00836357"/>
    <w:rsid w:val="008424EC"/>
    <w:rsid w:val="008442E9"/>
    <w:rsid w:val="00856C87"/>
    <w:rsid w:val="00862086"/>
    <w:rsid w:val="008724B9"/>
    <w:rsid w:val="00897907"/>
    <w:rsid w:val="008B0D09"/>
    <w:rsid w:val="008B3B22"/>
    <w:rsid w:val="008B7C26"/>
    <w:rsid w:val="008C27FF"/>
    <w:rsid w:val="008F1BB0"/>
    <w:rsid w:val="00913DE2"/>
    <w:rsid w:val="009274E9"/>
    <w:rsid w:val="0094207D"/>
    <w:rsid w:val="00961AD1"/>
    <w:rsid w:val="0096610F"/>
    <w:rsid w:val="00970617"/>
    <w:rsid w:val="00972A58"/>
    <w:rsid w:val="009736F4"/>
    <w:rsid w:val="009A3F62"/>
    <w:rsid w:val="009B4AFC"/>
    <w:rsid w:val="009C5BA5"/>
    <w:rsid w:val="009E52DB"/>
    <w:rsid w:val="00A05867"/>
    <w:rsid w:val="00A20088"/>
    <w:rsid w:val="00A22F31"/>
    <w:rsid w:val="00A25E60"/>
    <w:rsid w:val="00A376BA"/>
    <w:rsid w:val="00A51695"/>
    <w:rsid w:val="00A51C36"/>
    <w:rsid w:val="00A54C13"/>
    <w:rsid w:val="00A66885"/>
    <w:rsid w:val="00A83FA0"/>
    <w:rsid w:val="00A91E74"/>
    <w:rsid w:val="00A95EC5"/>
    <w:rsid w:val="00AB6A1C"/>
    <w:rsid w:val="00AB6A9A"/>
    <w:rsid w:val="00AC1092"/>
    <w:rsid w:val="00AD5E87"/>
    <w:rsid w:val="00AD7971"/>
    <w:rsid w:val="00AE5925"/>
    <w:rsid w:val="00B049BA"/>
    <w:rsid w:val="00B225BF"/>
    <w:rsid w:val="00B32A99"/>
    <w:rsid w:val="00B41F8E"/>
    <w:rsid w:val="00B46870"/>
    <w:rsid w:val="00B60A56"/>
    <w:rsid w:val="00B67DAE"/>
    <w:rsid w:val="00B70FC5"/>
    <w:rsid w:val="00B82061"/>
    <w:rsid w:val="00B84603"/>
    <w:rsid w:val="00BA5B0C"/>
    <w:rsid w:val="00BA7CE3"/>
    <w:rsid w:val="00BB592D"/>
    <w:rsid w:val="00BC2166"/>
    <w:rsid w:val="00BC28FD"/>
    <w:rsid w:val="00BC3792"/>
    <w:rsid w:val="00BC67C7"/>
    <w:rsid w:val="00BD5A92"/>
    <w:rsid w:val="00BD5D26"/>
    <w:rsid w:val="00BE038D"/>
    <w:rsid w:val="00BE1F64"/>
    <w:rsid w:val="00BE2638"/>
    <w:rsid w:val="00C02E39"/>
    <w:rsid w:val="00C047D3"/>
    <w:rsid w:val="00C15312"/>
    <w:rsid w:val="00C224E0"/>
    <w:rsid w:val="00C31583"/>
    <w:rsid w:val="00C32F7D"/>
    <w:rsid w:val="00C515D1"/>
    <w:rsid w:val="00C55B88"/>
    <w:rsid w:val="00C5683A"/>
    <w:rsid w:val="00C6768E"/>
    <w:rsid w:val="00C67DE2"/>
    <w:rsid w:val="00C77708"/>
    <w:rsid w:val="00C9594B"/>
    <w:rsid w:val="00CB7B99"/>
    <w:rsid w:val="00CB7CA3"/>
    <w:rsid w:val="00CC7FBF"/>
    <w:rsid w:val="00CE3515"/>
    <w:rsid w:val="00CE6E67"/>
    <w:rsid w:val="00D1424E"/>
    <w:rsid w:val="00D2031C"/>
    <w:rsid w:val="00D22783"/>
    <w:rsid w:val="00D22CFD"/>
    <w:rsid w:val="00D62AC1"/>
    <w:rsid w:val="00D647D9"/>
    <w:rsid w:val="00D86A96"/>
    <w:rsid w:val="00DA1D0B"/>
    <w:rsid w:val="00DB3842"/>
    <w:rsid w:val="00DC3A6C"/>
    <w:rsid w:val="00DC3DD3"/>
    <w:rsid w:val="00DD051C"/>
    <w:rsid w:val="00DE0AE0"/>
    <w:rsid w:val="00DE0CB6"/>
    <w:rsid w:val="00DE32F2"/>
    <w:rsid w:val="00DE516A"/>
    <w:rsid w:val="00DE74C3"/>
    <w:rsid w:val="00DF7082"/>
    <w:rsid w:val="00E000F8"/>
    <w:rsid w:val="00E10821"/>
    <w:rsid w:val="00E17B89"/>
    <w:rsid w:val="00E303E6"/>
    <w:rsid w:val="00E40061"/>
    <w:rsid w:val="00E41067"/>
    <w:rsid w:val="00E45A2F"/>
    <w:rsid w:val="00E575C7"/>
    <w:rsid w:val="00E63291"/>
    <w:rsid w:val="00E637DD"/>
    <w:rsid w:val="00E86C09"/>
    <w:rsid w:val="00EB1422"/>
    <w:rsid w:val="00EC1F3C"/>
    <w:rsid w:val="00EC23AF"/>
    <w:rsid w:val="00EC6B9E"/>
    <w:rsid w:val="00EE0885"/>
    <w:rsid w:val="00EF20C3"/>
    <w:rsid w:val="00EF4411"/>
    <w:rsid w:val="00EF47C7"/>
    <w:rsid w:val="00F008B0"/>
    <w:rsid w:val="00F13BCD"/>
    <w:rsid w:val="00F141A4"/>
    <w:rsid w:val="00F241AF"/>
    <w:rsid w:val="00F314B0"/>
    <w:rsid w:val="00F36AEF"/>
    <w:rsid w:val="00F446C1"/>
    <w:rsid w:val="00F64AAE"/>
    <w:rsid w:val="00F66A54"/>
    <w:rsid w:val="00F81664"/>
    <w:rsid w:val="00F85204"/>
    <w:rsid w:val="00FB219C"/>
    <w:rsid w:val="00FB6904"/>
    <w:rsid w:val="00FC12C7"/>
    <w:rsid w:val="00FC7942"/>
    <w:rsid w:val="00FD6E6B"/>
    <w:rsid w:val="00FE222B"/>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51B2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D37"/>
    <w:pPr>
      <w:tabs>
        <w:tab w:val="center" w:pos="4680"/>
        <w:tab w:val="right" w:pos="9360"/>
      </w:tabs>
    </w:pPr>
  </w:style>
  <w:style w:type="character" w:customStyle="1" w:styleId="HeaderChar">
    <w:name w:val="Header Char"/>
    <w:link w:val="Header"/>
    <w:uiPriority w:val="99"/>
    <w:rsid w:val="00456D37"/>
    <w:rPr>
      <w:sz w:val="22"/>
      <w:szCs w:val="22"/>
    </w:rPr>
  </w:style>
  <w:style w:type="paragraph" w:styleId="Footer">
    <w:name w:val="footer"/>
    <w:basedOn w:val="Normal"/>
    <w:link w:val="FooterChar"/>
    <w:uiPriority w:val="99"/>
    <w:unhideWhenUsed/>
    <w:rsid w:val="00456D37"/>
    <w:pPr>
      <w:tabs>
        <w:tab w:val="center" w:pos="4680"/>
        <w:tab w:val="right" w:pos="9360"/>
      </w:tabs>
    </w:pPr>
  </w:style>
  <w:style w:type="character" w:customStyle="1" w:styleId="FooterChar">
    <w:name w:val="Footer Char"/>
    <w:link w:val="Footer"/>
    <w:uiPriority w:val="99"/>
    <w:rsid w:val="00456D37"/>
    <w:rPr>
      <w:sz w:val="22"/>
      <w:szCs w:val="22"/>
    </w:rPr>
  </w:style>
  <w:style w:type="paragraph" w:styleId="BalloonText">
    <w:name w:val="Balloon Text"/>
    <w:basedOn w:val="Normal"/>
    <w:link w:val="BalloonTextChar"/>
    <w:uiPriority w:val="99"/>
    <w:semiHidden/>
    <w:unhideWhenUsed/>
    <w:rsid w:val="00456D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D37"/>
    <w:rPr>
      <w:rFonts w:ascii="Tahoma" w:hAnsi="Tahoma" w:cs="Tahoma"/>
      <w:sz w:val="16"/>
      <w:szCs w:val="16"/>
    </w:rPr>
  </w:style>
  <w:style w:type="paragraph" w:customStyle="1" w:styleId="Default">
    <w:name w:val="Default"/>
    <w:rsid w:val="007B0D3B"/>
    <w:pPr>
      <w:autoSpaceDE w:val="0"/>
      <w:autoSpaceDN w:val="0"/>
      <w:adjustRightInd w:val="0"/>
    </w:pPr>
    <w:rPr>
      <w:rFonts w:ascii="Arial" w:hAnsi="Arial" w:cs="Arial"/>
      <w:color w:val="000000"/>
      <w:sz w:val="24"/>
      <w:szCs w:val="24"/>
    </w:rPr>
  </w:style>
  <w:style w:type="character" w:customStyle="1" w:styleId="A3">
    <w:name w:val="A3"/>
    <w:uiPriority w:val="99"/>
    <w:rsid w:val="007B0D3B"/>
    <w:rPr>
      <w:b/>
      <w:bCs/>
      <w:i/>
      <w:iCs/>
      <w:color w:val="000000"/>
      <w:sz w:val="32"/>
      <w:szCs w:val="32"/>
    </w:rPr>
  </w:style>
  <w:style w:type="paragraph" w:customStyle="1" w:styleId="DocID">
    <w:name w:val="DocID"/>
    <w:basedOn w:val="Footer"/>
    <w:next w:val="Footer"/>
    <w:link w:val="DocIDChar"/>
    <w:rsid w:val="00147EA3"/>
    <w:pPr>
      <w:tabs>
        <w:tab w:val="clear" w:pos="4680"/>
        <w:tab w:val="clear" w:pos="9360"/>
      </w:tabs>
      <w:spacing w:after="0" w:line="240" w:lineRule="auto"/>
      <w:ind w:left="-720"/>
    </w:pPr>
    <w:rPr>
      <w:rFonts w:ascii="Arial" w:hAnsi="Arial" w:cs="Arial"/>
      <w:sz w:val="16"/>
      <w:szCs w:val="19"/>
    </w:rPr>
  </w:style>
  <w:style w:type="character" w:customStyle="1" w:styleId="DocIDChar">
    <w:name w:val="DocID Char"/>
    <w:link w:val="DocID"/>
    <w:rsid w:val="00147EA3"/>
    <w:rPr>
      <w:rFonts w:ascii="Arial" w:hAnsi="Arial" w:cs="Arial"/>
      <w:sz w:val="16"/>
      <w:szCs w:val="19"/>
    </w:rPr>
  </w:style>
  <w:style w:type="character" w:styleId="CommentReference">
    <w:name w:val="annotation reference"/>
    <w:uiPriority w:val="99"/>
    <w:semiHidden/>
    <w:unhideWhenUsed/>
    <w:rsid w:val="00232573"/>
    <w:rPr>
      <w:sz w:val="16"/>
      <w:szCs w:val="16"/>
    </w:rPr>
  </w:style>
  <w:style w:type="paragraph" w:styleId="CommentText">
    <w:name w:val="annotation text"/>
    <w:basedOn w:val="Normal"/>
    <w:link w:val="CommentTextChar"/>
    <w:uiPriority w:val="99"/>
    <w:semiHidden/>
    <w:unhideWhenUsed/>
    <w:rsid w:val="00232573"/>
    <w:rPr>
      <w:sz w:val="20"/>
      <w:szCs w:val="20"/>
    </w:rPr>
  </w:style>
  <w:style w:type="character" w:customStyle="1" w:styleId="CommentTextChar">
    <w:name w:val="Comment Text Char"/>
    <w:basedOn w:val="DefaultParagraphFont"/>
    <w:link w:val="CommentText"/>
    <w:uiPriority w:val="99"/>
    <w:semiHidden/>
    <w:rsid w:val="00232573"/>
  </w:style>
  <w:style w:type="paragraph" w:styleId="CommentSubject">
    <w:name w:val="annotation subject"/>
    <w:basedOn w:val="CommentText"/>
    <w:next w:val="CommentText"/>
    <w:link w:val="CommentSubjectChar"/>
    <w:uiPriority w:val="99"/>
    <w:semiHidden/>
    <w:unhideWhenUsed/>
    <w:rsid w:val="00232573"/>
    <w:rPr>
      <w:b/>
      <w:bCs/>
    </w:rPr>
  </w:style>
  <w:style w:type="character" w:customStyle="1" w:styleId="CommentSubjectChar">
    <w:name w:val="Comment Subject Char"/>
    <w:link w:val="CommentSubject"/>
    <w:uiPriority w:val="99"/>
    <w:semiHidden/>
    <w:rsid w:val="00232573"/>
    <w:rPr>
      <w:b/>
      <w:bCs/>
    </w:rPr>
  </w:style>
  <w:style w:type="table" w:styleId="TableGrid">
    <w:name w:val="Table Grid"/>
    <w:basedOn w:val="TableNormal"/>
    <w:uiPriority w:val="59"/>
    <w:rsid w:val="00DC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34E7AB47216B429C9AB2C13C46C1EC" ma:contentTypeVersion="14" ma:contentTypeDescription="Create a new document." ma:contentTypeScope="" ma:versionID="d276e6bb36e3a82827610f15b9db99a6">
  <xsd:schema xmlns:xsd="http://www.w3.org/2001/XMLSchema" xmlns:xs="http://www.w3.org/2001/XMLSchema" xmlns:p="http://schemas.microsoft.com/office/2006/metadata/properties" xmlns:ns1="http://schemas.microsoft.com/sharepoint/v3" xmlns:ns2="7707425c-08ce-4a23-80bb-1919157966ef" xmlns:ns3="18dfe5aa-3d5e-4d1d-b308-5f8fb232f7af" targetNamespace="http://schemas.microsoft.com/office/2006/metadata/properties" ma:root="true" ma:fieldsID="214647001a3c81d46407f8fb99d291cd" ns1:_="" ns2:_="" ns3:_="">
    <xsd:import namespace="http://schemas.microsoft.com/sharepoint/v3"/>
    <xsd:import namespace="7707425c-08ce-4a23-80bb-1919157966ef"/>
    <xsd:import namespace="18dfe5aa-3d5e-4d1d-b308-5f8fb232f7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7425c-08ce-4a23-80bb-1919157966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fe5aa-3d5e-4d1d-b308-5f8fb232f7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677AFC-C4AE-4AB0-AA39-B0FD749C45AF}">
  <ds:schemaRefs>
    <ds:schemaRef ds:uri="http://schemas.openxmlformats.org/officeDocument/2006/bibliography"/>
  </ds:schemaRefs>
</ds:datastoreItem>
</file>

<file path=customXml/itemProps2.xml><?xml version="1.0" encoding="utf-8"?>
<ds:datastoreItem xmlns:ds="http://schemas.openxmlformats.org/officeDocument/2006/customXml" ds:itemID="{E6BCBD46-1388-4541-9295-4DFB3F4671CA}"/>
</file>

<file path=customXml/itemProps3.xml><?xml version="1.0" encoding="utf-8"?>
<ds:datastoreItem xmlns:ds="http://schemas.openxmlformats.org/officeDocument/2006/customXml" ds:itemID="{0A81780B-62E6-43DE-BADF-762072E19154}"/>
</file>

<file path=customXml/itemProps4.xml><?xml version="1.0" encoding="utf-8"?>
<ds:datastoreItem xmlns:ds="http://schemas.openxmlformats.org/officeDocument/2006/customXml" ds:itemID="{CE28A2C2-350E-456D-B1D7-6B184BD64A32}"/>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7015</Characters>
  <Application>Microsoft Office Word</Application>
  <DocSecurity>0</DocSecurity>
  <PresentationFormat/>
  <Lines>140</Lines>
  <Paragraphs>93</Paragraphs>
  <ScaleCrop>false</ScaleCrop>
  <HeadingPairs>
    <vt:vector size="2" baseType="variant">
      <vt:variant>
        <vt:lpstr>Title</vt:lpstr>
      </vt:variant>
      <vt:variant>
        <vt:i4>1</vt:i4>
      </vt:variant>
    </vt:vector>
  </HeadingPairs>
  <TitlesOfParts>
    <vt:vector size="1" baseType="lpstr">
      <vt:lpstr>ABAD - HSR to HSL, HSI and ALL Brokerages (00012591-13).DOCX</vt:lpstr>
    </vt:vector>
  </TitlesOfParts>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ABAD - HSR to HSL, HSI and ALL Brokerages (00012591-14).DOCX</dc:title>
  <dc:subject>HSOA-00012591.14/FONT=8</dc:subject>
  <dc:creator/>
  <cp:keywords> </cp:keywords>
  <cp:lastModifiedBy/>
  <cp:revision>1</cp:revision>
  <dcterms:created xsi:type="dcterms:W3CDTF">2015-12-07T21:25:00Z</dcterms:created>
  <dcterms:modified xsi:type="dcterms:W3CDTF">2019-08-15T17:03:00Z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UFAAhbkLiRokiRziprQYsE3GJ114Qnh4wMh/LgmRSqYZnfjut5iWd6/Ugw+5T1HiUONrjbCNYtb5jPk0_x000d_
X5/uQap2RL5MXR1VAVN4tSVJk2mF2XKHu+nQTr+xx0yzFuqcRXJDDN4PdrTWJaiwm2bKP6g+OjhC_x000d_
aIuZQ4j5f8/7j4TYf2j0KWmwia/sCF56Um+YoxIDJtpbPe7TfYuNAvOIu6JDSORKxZtJYRRjIgmG_x000d_
dg5yhLbR5mDUicQkm</vt:lpwstr>
  </property>
  <property fmtid="{D5CDD505-2E9C-101B-9397-08002B2CF9AE}" pid="3" name="MAIL_MSG_ID2">
    <vt:lpwstr>/fgote2cr46mrHoJkyl/BjuZrmcn9sK87bjuGICyrHpRKtrkHdPDWa43fX5_x000d_
VIMUnnw+hXbuBegPJZd+BNk1rPk=</vt:lpwstr>
  </property>
  <property fmtid="{D5CDD505-2E9C-101B-9397-08002B2CF9AE}" pid="4" name="RESPONSE_SENDER_NAME">
    <vt:lpwstr>sAAA2RgG6J6jCJ3lZ3ULsWMmbcK+J1CA3GblcE0bU0HNDko=</vt:lpwstr>
  </property>
  <property fmtid="{D5CDD505-2E9C-101B-9397-08002B2CF9AE}" pid="5" name="EMAIL_OWNER_ADDRESS">
    <vt:lpwstr>sAAAGYoQX4c3X/K1dVuWOA1naudi9X7xfQ/430ndhsNU4ew=</vt:lpwstr>
  </property>
  <property fmtid="{D5CDD505-2E9C-101B-9397-08002B2CF9AE}" pid="6" name="CUS_DocIDsSeparator">
    <vt:lpwstr>(Use Firm's Default)</vt:lpwstr>
  </property>
  <property fmtid="{D5CDD505-2E9C-101B-9397-08002B2CF9AE}" pid="7" name="CUS_DocIDbChkLibDB">
    <vt:lpwstr>0</vt:lpwstr>
  </property>
  <property fmtid="{D5CDD505-2E9C-101B-9397-08002B2CF9AE}" pid="8" name="CUS_DocIDbchkClientNumber">
    <vt:lpwstr>0</vt:lpwstr>
  </property>
  <property fmtid="{D5CDD505-2E9C-101B-9397-08002B2CF9AE}" pid="9" name="CUS_DocIDbchkMatterNumber">
    <vt:lpwstr>0</vt:lpwstr>
  </property>
  <property fmtid="{D5CDD505-2E9C-101B-9397-08002B2CF9AE}" pid="10" name="CUS_DocIDbchkDocumentName">
    <vt:lpwstr>0</vt:lpwstr>
  </property>
  <property fmtid="{D5CDD505-2E9C-101B-9397-08002B2CF9AE}" pid="11" name="CUS_DocIDbchkAuthorName">
    <vt:lpwstr>0</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String">
    <vt:lpwstr>4812-9472-4118.1</vt:lpwstr>
  </property>
  <property fmtid="{D5CDD505-2E9C-101B-9397-08002B2CF9AE}" pid="18" name="CUS_DocIDOperation">
    <vt:lpwstr>EVERY PAGE</vt:lpwstr>
  </property>
  <property fmtid="{D5CDD505-2E9C-101B-9397-08002B2CF9AE}" pid="19" name="WS_TRACKING_ID">
    <vt:lpwstr>38ec9e8b-3b4b-4ca9-8d3d-d37682eeee28</vt:lpwstr>
  </property>
  <property fmtid="{D5CDD505-2E9C-101B-9397-08002B2CF9AE}" pid="20" name="UserDate">
    <vt:lpwstr>11/8/2018 11:20:29 AM</vt:lpwstr>
  </property>
  <property fmtid="{D5CDD505-2E9C-101B-9397-08002B2CF9AE}" pid="21" name="ContentTypeId">
    <vt:lpwstr>0x0101002334E7AB47216B429C9AB2C13C46C1EC</vt:lpwstr>
  </property>
</Properties>
</file>